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50" w:rsidRPr="008E0FBE" w:rsidRDefault="00161C08" w:rsidP="00C34B50">
      <w:pPr>
        <w:pStyle w:val="NoSpacing"/>
        <w:rPr>
          <w:b/>
          <w:sz w:val="32"/>
          <w:szCs w:val="32"/>
        </w:rPr>
      </w:pPr>
      <w:r>
        <w:rPr>
          <w:b/>
          <w:sz w:val="32"/>
          <w:szCs w:val="32"/>
        </w:rPr>
        <w:t>MiraCosta College 2015-2018</w:t>
      </w:r>
      <w:r w:rsidR="008F3225">
        <w:rPr>
          <w:b/>
          <w:sz w:val="32"/>
          <w:szCs w:val="32"/>
        </w:rPr>
        <w:t xml:space="preserve"> </w:t>
      </w:r>
      <w:r w:rsidR="00C34B50" w:rsidRPr="008E0FBE">
        <w:rPr>
          <w:b/>
          <w:sz w:val="32"/>
          <w:szCs w:val="32"/>
        </w:rPr>
        <w:t>Student Equity</w:t>
      </w:r>
      <w:r w:rsidR="008F3225">
        <w:rPr>
          <w:b/>
          <w:sz w:val="32"/>
          <w:szCs w:val="32"/>
        </w:rPr>
        <w:t xml:space="preserve"> Plan</w:t>
      </w:r>
      <w:r w:rsidR="00C34B50" w:rsidRPr="008E0FBE">
        <w:rPr>
          <w:b/>
          <w:sz w:val="32"/>
          <w:szCs w:val="32"/>
        </w:rPr>
        <w:t xml:space="preserve"> Executive Summary</w:t>
      </w:r>
    </w:p>
    <w:p w:rsidR="00C34B50" w:rsidRPr="00C34B50" w:rsidRDefault="00C34B50" w:rsidP="00C34B50">
      <w:pPr>
        <w:pStyle w:val="NoSpacing"/>
      </w:pPr>
      <w:r w:rsidRPr="00C34B50">
        <w:t xml:space="preserve">With the passing of the 2012 Student Success Law, the college has worked to expand student success efforts with a focus on student equity, particularly for those populations identified as at-risk. This process entails a close look at data that identifies student populations that are disproportionately impacted at MiraCosta College across what the Board of Governors policy on student equity has defined as key success indicators:  access, course completion, ESL and basic skills completion, degree and certificate completion, and transfer. The target populations include the following subgroups:  ethnicity, gender, age, disability status, economically disadvantaged, veterans, and foster youth (Title 5, §54220).  </w:t>
      </w:r>
    </w:p>
    <w:p w:rsidR="00C34B50" w:rsidRDefault="00C34B50" w:rsidP="00C34B50">
      <w:pPr>
        <w:pStyle w:val="NoSpacing"/>
      </w:pPr>
    </w:p>
    <w:p w:rsidR="00C34B50" w:rsidRDefault="008F3225" w:rsidP="00C34B50">
      <w:pPr>
        <w:pStyle w:val="NoSpacing"/>
      </w:pPr>
      <w:r>
        <w:t>MiraCosta College submitted its</w:t>
      </w:r>
      <w:r w:rsidR="00C34B50" w:rsidRPr="00C34B50">
        <w:t xml:space="preserve"> 2014-2017 Student Equity Plan that outline</w:t>
      </w:r>
      <w:r>
        <w:t>d</w:t>
      </w:r>
      <w:r w:rsidR="00C34B50" w:rsidRPr="00C34B50">
        <w:t xml:space="preserve"> goals and activities the college identified to meet areas of gap for target populations across success indicators.  </w:t>
      </w:r>
      <w:r w:rsidR="00C34B50">
        <w:t xml:space="preserve">With the awarding of additional funds, the college created an updated 2015-2018 Student Equity Plan.  </w:t>
      </w:r>
    </w:p>
    <w:p w:rsidR="00C34B50" w:rsidRDefault="00C34B50" w:rsidP="00C34B50">
      <w:pPr>
        <w:pStyle w:val="NoSpacing"/>
      </w:pPr>
    </w:p>
    <w:p w:rsidR="00C34B50" w:rsidRDefault="0085754C" w:rsidP="00C34B50">
      <w:pPr>
        <w:pStyle w:val="NoSpacing"/>
      </w:pPr>
      <w:r>
        <w:t xml:space="preserve">Table 1 provides </w:t>
      </w:r>
      <w:r w:rsidR="00C34B50">
        <w:t>a summary of the student populations identified as disproportionately impacted, the college</w:t>
      </w:r>
      <w:r w:rsidR="00582758">
        <w:t>’</w:t>
      </w:r>
      <w:r w:rsidR="00C34B50">
        <w:t xml:space="preserve">s goals for equity gap mitigation/elimination, </w:t>
      </w:r>
      <w:r w:rsidR="00035D30">
        <w:t xml:space="preserve">the college’s progress toward these goals, </w:t>
      </w:r>
      <w:r w:rsidR="00C34B50">
        <w:t xml:space="preserve">activities to help the college reach these goals, </w:t>
      </w:r>
      <w:r w:rsidR="00035D30">
        <w:t xml:space="preserve">and </w:t>
      </w:r>
      <w:r w:rsidR="00C34B50">
        <w:t>resource</w:t>
      </w:r>
      <w:r w:rsidR="00035D30">
        <w:t xml:space="preserve">s budgeted </w:t>
      </w:r>
      <w:r w:rsidR="007B1CEC">
        <w:t>for</w:t>
      </w:r>
      <w:r w:rsidR="00035D30">
        <w:t xml:space="preserve"> each activity.</w:t>
      </w:r>
      <w:r w:rsidR="006A74C0">
        <w:t xml:space="preserve">  Activities with an asterisk next to them will be continued as part of the 2017-2019 Integrated Plan</w:t>
      </w:r>
      <w:r>
        <w:t xml:space="preserve"> cited in Table 2</w:t>
      </w:r>
      <w:r w:rsidR="006A74C0">
        <w:t>.</w:t>
      </w:r>
      <w:r w:rsidR="000C30DC">
        <w:t xml:space="preserve">  </w:t>
      </w:r>
      <w:r w:rsidR="00477BC8">
        <w:t>Also included are an accounting of Student Equity funding for 2014-15, 2015-16, and 2016-17, an assessment of progress on identified goals from prior year plans and the district’s official contact.</w:t>
      </w:r>
    </w:p>
    <w:p w:rsidR="000C30DC" w:rsidRDefault="000C30DC" w:rsidP="00C34B50">
      <w:pPr>
        <w:pStyle w:val="NoSpacing"/>
      </w:pPr>
    </w:p>
    <w:p w:rsidR="0085754C" w:rsidRPr="008F3225" w:rsidRDefault="0085754C" w:rsidP="00C34B50">
      <w:pPr>
        <w:pStyle w:val="NoSpacing"/>
        <w:rPr>
          <w:b/>
          <w:sz w:val="24"/>
          <w:szCs w:val="24"/>
        </w:rPr>
      </w:pPr>
      <w:r w:rsidRPr="008F3225">
        <w:rPr>
          <w:b/>
          <w:sz w:val="24"/>
          <w:szCs w:val="24"/>
        </w:rPr>
        <w:t>Table 1: Goals, Activities, Progress, and Resources from the MiraCosta College 2015-2018 Student Equity Plan</w:t>
      </w:r>
    </w:p>
    <w:tbl>
      <w:tblPr>
        <w:tblStyle w:val="TableGrid"/>
        <w:tblW w:w="143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7"/>
        <w:gridCol w:w="1710"/>
        <w:gridCol w:w="1350"/>
        <w:gridCol w:w="1350"/>
        <w:gridCol w:w="2250"/>
        <w:gridCol w:w="1440"/>
        <w:gridCol w:w="3510"/>
        <w:gridCol w:w="1350"/>
      </w:tblGrid>
      <w:tr w:rsidR="00035D30" w:rsidRPr="008F3225" w:rsidTr="00D81439">
        <w:tc>
          <w:tcPr>
            <w:tcW w:w="1417"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Success Indicator</w:t>
            </w:r>
          </w:p>
        </w:tc>
        <w:tc>
          <w:tcPr>
            <w:tcW w:w="171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Target Groups</w:t>
            </w:r>
          </w:p>
        </w:tc>
        <w:tc>
          <w:tcPr>
            <w:tcW w:w="135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Equity Index</w:t>
            </w:r>
          </w:p>
        </w:tc>
        <w:tc>
          <w:tcPr>
            <w:tcW w:w="135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Percentage Point Gap</w:t>
            </w:r>
          </w:p>
        </w:tc>
        <w:tc>
          <w:tcPr>
            <w:tcW w:w="225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Goal</w:t>
            </w:r>
          </w:p>
        </w:tc>
        <w:tc>
          <w:tcPr>
            <w:tcW w:w="144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Goal Progress as of fall 2017</w:t>
            </w:r>
          </w:p>
        </w:tc>
        <w:tc>
          <w:tcPr>
            <w:tcW w:w="351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Activities</w:t>
            </w:r>
          </w:p>
        </w:tc>
        <w:tc>
          <w:tcPr>
            <w:tcW w:w="1350" w:type="dxa"/>
            <w:tcBorders>
              <w:top w:val="single" w:sz="18" w:space="0" w:color="auto"/>
              <w:bottom w:val="single" w:sz="12" w:space="0" w:color="auto"/>
            </w:tcBorders>
            <w:shd w:val="clear" w:color="auto" w:fill="9CC2E5" w:themeFill="accent1" w:themeFillTint="99"/>
            <w:vAlign w:val="center"/>
          </w:tcPr>
          <w:p w:rsidR="00035D30" w:rsidRPr="008F3225" w:rsidRDefault="00035D30" w:rsidP="00035D30">
            <w:pPr>
              <w:pStyle w:val="NoSpacing"/>
              <w:jc w:val="center"/>
              <w:rPr>
                <w:b/>
                <w:sz w:val="24"/>
                <w:szCs w:val="24"/>
              </w:rPr>
            </w:pPr>
            <w:r w:rsidRPr="008F3225">
              <w:rPr>
                <w:b/>
                <w:sz w:val="24"/>
                <w:szCs w:val="24"/>
              </w:rPr>
              <w:t>SE Resources Budgeted</w:t>
            </w:r>
          </w:p>
        </w:tc>
      </w:tr>
      <w:tr w:rsidR="00035D30" w:rsidTr="00D81439">
        <w:tc>
          <w:tcPr>
            <w:tcW w:w="1417" w:type="dxa"/>
            <w:vMerge w:val="restart"/>
            <w:tcBorders>
              <w:top w:val="single" w:sz="12" w:space="0" w:color="auto"/>
            </w:tcBorders>
            <w:textDirection w:val="btLr"/>
            <w:vAlign w:val="center"/>
          </w:tcPr>
          <w:p w:rsidR="00035D30" w:rsidRPr="00762868" w:rsidRDefault="00035D30" w:rsidP="00035D30">
            <w:pPr>
              <w:pStyle w:val="NoSpacing"/>
              <w:ind w:left="113" w:right="113"/>
              <w:jc w:val="center"/>
              <w:rPr>
                <w:b/>
                <w:sz w:val="32"/>
                <w:szCs w:val="32"/>
              </w:rPr>
            </w:pPr>
            <w:r w:rsidRPr="00762868">
              <w:rPr>
                <w:b/>
                <w:sz w:val="32"/>
                <w:szCs w:val="32"/>
              </w:rPr>
              <w:t>ACCESS</w:t>
            </w:r>
          </w:p>
          <w:p w:rsidR="00035D30" w:rsidRPr="005400BF" w:rsidRDefault="00035D30" w:rsidP="00035D30">
            <w:pPr>
              <w:pStyle w:val="NoSpacing"/>
              <w:ind w:left="113" w:right="113"/>
              <w:jc w:val="center"/>
              <w:rPr>
                <w:sz w:val="17"/>
                <w:szCs w:val="17"/>
              </w:rPr>
            </w:pPr>
            <w:r w:rsidRPr="005400BF">
              <w:rPr>
                <w:sz w:val="17"/>
                <w:szCs w:val="17"/>
              </w:rPr>
              <w:t>The goal is to improve access for target populations</w:t>
            </w:r>
          </w:p>
        </w:tc>
        <w:tc>
          <w:tcPr>
            <w:tcW w:w="1710" w:type="dxa"/>
            <w:tcBorders>
              <w:top w:val="single" w:sz="12" w:space="0" w:color="auto"/>
            </w:tcBorders>
            <w:vAlign w:val="center"/>
          </w:tcPr>
          <w:p w:rsidR="00035D30" w:rsidRPr="00FC3BF1" w:rsidRDefault="00035D30" w:rsidP="00035D30">
            <w:pPr>
              <w:pStyle w:val="NoSpacing"/>
              <w:rPr>
                <w:sz w:val="20"/>
                <w:szCs w:val="20"/>
              </w:rPr>
            </w:pPr>
            <w:r w:rsidRPr="00FC3BF1">
              <w:rPr>
                <w:sz w:val="20"/>
                <w:szCs w:val="20"/>
              </w:rPr>
              <w:t>Veterans</w:t>
            </w:r>
          </w:p>
        </w:tc>
        <w:tc>
          <w:tcPr>
            <w:tcW w:w="1350" w:type="dxa"/>
            <w:tcBorders>
              <w:top w:val="single" w:sz="12" w:space="0" w:color="auto"/>
            </w:tcBorders>
            <w:vAlign w:val="center"/>
          </w:tcPr>
          <w:p w:rsidR="00035D30" w:rsidRPr="00FC3BF1" w:rsidRDefault="00035D30" w:rsidP="00035D30">
            <w:pPr>
              <w:pStyle w:val="NoSpacing"/>
              <w:rPr>
                <w:sz w:val="20"/>
                <w:szCs w:val="20"/>
              </w:rPr>
            </w:pPr>
            <w:r w:rsidRPr="00FC3BF1">
              <w:rPr>
                <w:sz w:val="20"/>
                <w:szCs w:val="20"/>
              </w:rPr>
              <w:t>0.53</w:t>
            </w:r>
          </w:p>
        </w:tc>
        <w:tc>
          <w:tcPr>
            <w:tcW w:w="1350" w:type="dxa"/>
            <w:tcBorders>
              <w:top w:val="single" w:sz="12" w:space="0" w:color="auto"/>
            </w:tcBorders>
            <w:shd w:val="clear" w:color="auto" w:fill="000000" w:themeFill="text1"/>
            <w:vAlign w:val="center"/>
          </w:tcPr>
          <w:p w:rsidR="00035D30" w:rsidRPr="00FC3BF1" w:rsidRDefault="00035D30" w:rsidP="00035D30">
            <w:pPr>
              <w:pStyle w:val="NoSpacing"/>
              <w:rPr>
                <w:sz w:val="20"/>
                <w:szCs w:val="20"/>
              </w:rPr>
            </w:pPr>
          </w:p>
        </w:tc>
        <w:tc>
          <w:tcPr>
            <w:tcW w:w="2250" w:type="dxa"/>
            <w:tcBorders>
              <w:top w:val="single" w:sz="12" w:space="0" w:color="auto"/>
            </w:tcBorders>
            <w:vAlign w:val="center"/>
          </w:tcPr>
          <w:p w:rsidR="00035D30" w:rsidRPr="00FC3BF1" w:rsidRDefault="00035D30" w:rsidP="00035D30">
            <w:pPr>
              <w:pStyle w:val="NoSpacing"/>
              <w:rPr>
                <w:sz w:val="20"/>
                <w:szCs w:val="20"/>
              </w:rPr>
            </w:pPr>
            <w:r w:rsidRPr="00FC3BF1">
              <w:rPr>
                <w:sz w:val="20"/>
                <w:szCs w:val="20"/>
              </w:rPr>
              <w:t>Increase index by 0.8</w:t>
            </w:r>
          </w:p>
        </w:tc>
        <w:tc>
          <w:tcPr>
            <w:tcW w:w="1440" w:type="dxa"/>
            <w:tcBorders>
              <w:top w:val="single" w:sz="12" w:space="0" w:color="auto"/>
            </w:tcBorders>
            <w:vAlign w:val="center"/>
          </w:tcPr>
          <w:p w:rsidR="00035D30" w:rsidRPr="00FC3BF1" w:rsidRDefault="00035D30" w:rsidP="00035D30">
            <w:pPr>
              <w:pStyle w:val="NoSpacing"/>
              <w:rPr>
                <w:sz w:val="20"/>
                <w:szCs w:val="20"/>
              </w:rPr>
            </w:pPr>
            <w:r>
              <w:rPr>
                <w:sz w:val="20"/>
                <w:szCs w:val="20"/>
              </w:rPr>
              <w:t>.67</w:t>
            </w:r>
          </w:p>
        </w:tc>
        <w:tc>
          <w:tcPr>
            <w:tcW w:w="3510" w:type="dxa"/>
            <w:tcBorders>
              <w:top w:val="single" w:sz="12" w:space="0" w:color="auto"/>
            </w:tcBorders>
            <w:vAlign w:val="center"/>
          </w:tcPr>
          <w:p w:rsidR="00035D30" w:rsidRPr="00FC3BF1" w:rsidRDefault="00035D30" w:rsidP="00035D30">
            <w:pPr>
              <w:pStyle w:val="NoSpacing"/>
              <w:rPr>
                <w:sz w:val="20"/>
                <w:szCs w:val="20"/>
              </w:rPr>
            </w:pPr>
            <w:r w:rsidRPr="00FC3BF1">
              <w:rPr>
                <w:sz w:val="20"/>
                <w:szCs w:val="20"/>
              </w:rPr>
              <w:t xml:space="preserve">Intensify outreach to veteran students, </w:t>
            </w:r>
            <w:r>
              <w:rPr>
                <w:sz w:val="20"/>
                <w:szCs w:val="20"/>
              </w:rPr>
              <w:t>veterans’ organizations, and veterans’ service centers to improve transition to college.</w:t>
            </w:r>
            <w:r w:rsidR="006A74C0">
              <w:rPr>
                <w:sz w:val="20"/>
                <w:szCs w:val="20"/>
              </w:rPr>
              <w:t>*</w:t>
            </w:r>
          </w:p>
        </w:tc>
        <w:tc>
          <w:tcPr>
            <w:tcW w:w="1350" w:type="dxa"/>
            <w:tcBorders>
              <w:top w:val="single" w:sz="12" w:space="0" w:color="auto"/>
            </w:tcBorders>
            <w:vAlign w:val="center"/>
          </w:tcPr>
          <w:p w:rsidR="00035D30" w:rsidRPr="00FC3BF1" w:rsidRDefault="00035D30" w:rsidP="00035D30">
            <w:pPr>
              <w:pStyle w:val="NoSpacing"/>
              <w:rPr>
                <w:sz w:val="20"/>
                <w:szCs w:val="20"/>
              </w:rPr>
            </w:pPr>
            <w:r w:rsidRPr="00FC3BF1">
              <w:rPr>
                <w:sz w:val="20"/>
                <w:szCs w:val="20"/>
              </w:rPr>
              <w:t>$</w:t>
            </w:r>
            <w:r>
              <w:rPr>
                <w:sz w:val="20"/>
                <w:szCs w:val="20"/>
              </w:rPr>
              <w:t>100,000</w:t>
            </w:r>
          </w:p>
        </w:tc>
      </w:tr>
      <w:tr w:rsidR="00035D30" w:rsidTr="00035D30">
        <w:tc>
          <w:tcPr>
            <w:tcW w:w="1417" w:type="dxa"/>
            <w:vMerge/>
          </w:tcPr>
          <w:p w:rsidR="00035D30" w:rsidRPr="00FC3BF1" w:rsidRDefault="00035D30" w:rsidP="00035D30">
            <w:pPr>
              <w:pStyle w:val="NoSpacing"/>
            </w:pPr>
          </w:p>
        </w:tc>
        <w:tc>
          <w:tcPr>
            <w:tcW w:w="171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Asian / Pacific Islander</w:t>
            </w:r>
          </w:p>
        </w:tc>
        <w:tc>
          <w:tcPr>
            <w:tcW w:w="135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0.83</w:t>
            </w:r>
          </w:p>
        </w:tc>
        <w:tc>
          <w:tcPr>
            <w:tcW w:w="1350" w:type="dxa"/>
            <w:shd w:val="clear" w:color="auto" w:fill="000000" w:themeFill="text1"/>
            <w:vAlign w:val="center"/>
          </w:tcPr>
          <w:p w:rsidR="00035D30" w:rsidRPr="00FC3BF1" w:rsidRDefault="00035D30" w:rsidP="00035D30">
            <w:pPr>
              <w:pStyle w:val="NoSpacing"/>
              <w:rPr>
                <w:sz w:val="20"/>
                <w:szCs w:val="20"/>
              </w:rPr>
            </w:pPr>
          </w:p>
        </w:tc>
        <w:tc>
          <w:tcPr>
            <w:tcW w:w="225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Eliminate gap</w:t>
            </w:r>
          </w:p>
        </w:tc>
        <w:tc>
          <w:tcPr>
            <w:tcW w:w="144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.71</w:t>
            </w:r>
          </w:p>
        </w:tc>
        <w:tc>
          <w:tcPr>
            <w:tcW w:w="351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Strengthen outreach to Asian / Pacific Islander communities, particularly in the northern part of the district.</w:t>
            </w:r>
            <w:r w:rsidR="006A74C0">
              <w:rPr>
                <w:sz w:val="20"/>
                <w:szCs w:val="20"/>
              </w:rPr>
              <w:t>*</w:t>
            </w:r>
          </w:p>
        </w:tc>
        <w:tc>
          <w:tcPr>
            <w:tcW w:w="135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$35,912</w:t>
            </w:r>
          </w:p>
        </w:tc>
      </w:tr>
      <w:tr w:rsidR="00035D30" w:rsidTr="00035D30">
        <w:tc>
          <w:tcPr>
            <w:tcW w:w="1417" w:type="dxa"/>
            <w:vMerge/>
          </w:tcPr>
          <w:p w:rsidR="00035D30" w:rsidRPr="00FC3BF1" w:rsidRDefault="00035D30" w:rsidP="00035D30">
            <w:pPr>
              <w:pStyle w:val="NoSpacing"/>
            </w:pPr>
          </w:p>
        </w:tc>
        <w:tc>
          <w:tcPr>
            <w:tcW w:w="1710" w:type="dxa"/>
            <w:vAlign w:val="center"/>
          </w:tcPr>
          <w:p w:rsidR="00035D30" w:rsidRPr="00FC3BF1" w:rsidRDefault="00035D30" w:rsidP="00035D30">
            <w:pPr>
              <w:pStyle w:val="NoSpacing"/>
              <w:rPr>
                <w:sz w:val="20"/>
                <w:szCs w:val="20"/>
              </w:rPr>
            </w:pPr>
            <w:r>
              <w:rPr>
                <w:sz w:val="20"/>
                <w:szCs w:val="20"/>
              </w:rPr>
              <w:t>Economically Disadvantaged</w:t>
            </w:r>
          </w:p>
        </w:tc>
        <w:tc>
          <w:tcPr>
            <w:tcW w:w="1350" w:type="dxa"/>
            <w:vAlign w:val="center"/>
          </w:tcPr>
          <w:p w:rsidR="00035D30" w:rsidRPr="00FC3BF1" w:rsidRDefault="00035D30" w:rsidP="00035D30">
            <w:pPr>
              <w:pStyle w:val="NoSpacing"/>
              <w:rPr>
                <w:sz w:val="20"/>
                <w:szCs w:val="20"/>
              </w:rPr>
            </w:pPr>
            <w:r>
              <w:rPr>
                <w:sz w:val="20"/>
                <w:szCs w:val="20"/>
              </w:rPr>
              <w:t>0.13</w:t>
            </w:r>
          </w:p>
        </w:tc>
        <w:tc>
          <w:tcPr>
            <w:tcW w:w="1350" w:type="dxa"/>
            <w:shd w:val="clear" w:color="auto" w:fill="000000" w:themeFill="text1"/>
            <w:vAlign w:val="center"/>
          </w:tcPr>
          <w:p w:rsidR="00035D30" w:rsidRPr="00FC3BF1" w:rsidRDefault="00035D30" w:rsidP="00035D30">
            <w:pPr>
              <w:pStyle w:val="NoSpacing"/>
              <w:rPr>
                <w:sz w:val="20"/>
                <w:szCs w:val="20"/>
              </w:rPr>
            </w:pPr>
          </w:p>
        </w:tc>
        <w:tc>
          <w:tcPr>
            <w:tcW w:w="2250" w:type="dxa"/>
            <w:vAlign w:val="center"/>
          </w:tcPr>
          <w:p w:rsidR="00035D30" w:rsidRPr="00FC3BF1" w:rsidRDefault="00035D30" w:rsidP="00035D30">
            <w:pPr>
              <w:pStyle w:val="NoSpacing"/>
              <w:rPr>
                <w:sz w:val="20"/>
                <w:szCs w:val="20"/>
              </w:rPr>
            </w:pPr>
            <w:r>
              <w:rPr>
                <w:sz w:val="20"/>
                <w:szCs w:val="20"/>
              </w:rPr>
              <w:t>Increase index to 0.6</w:t>
            </w:r>
          </w:p>
        </w:tc>
        <w:tc>
          <w:tcPr>
            <w:tcW w:w="1440" w:type="dxa"/>
            <w:vAlign w:val="center"/>
          </w:tcPr>
          <w:p w:rsidR="00035D30" w:rsidRPr="00FC3BF1" w:rsidRDefault="00035D30" w:rsidP="00035D30">
            <w:pPr>
              <w:pStyle w:val="NoSpacing"/>
              <w:rPr>
                <w:sz w:val="20"/>
                <w:szCs w:val="20"/>
              </w:rPr>
            </w:pPr>
            <w:r>
              <w:rPr>
                <w:sz w:val="20"/>
                <w:szCs w:val="20"/>
              </w:rPr>
              <w:t>.35</w:t>
            </w:r>
          </w:p>
        </w:tc>
        <w:tc>
          <w:tcPr>
            <w:tcW w:w="3510" w:type="dxa"/>
            <w:vAlign w:val="center"/>
          </w:tcPr>
          <w:p w:rsidR="00035D30" w:rsidRDefault="00035D30" w:rsidP="00035D30">
            <w:pPr>
              <w:pStyle w:val="NoSpacing"/>
              <w:rPr>
                <w:sz w:val="20"/>
                <w:szCs w:val="20"/>
              </w:rPr>
            </w:pPr>
            <w:r>
              <w:rPr>
                <w:sz w:val="20"/>
                <w:szCs w:val="20"/>
              </w:rPr>
              <w:t>Expand outreach efforts to economically disadvantaged students from Title I service area schools</w:t>
            </w:r>
            <w:r w:rsidR="006A74C0">
              <w:rPr>
                <w:sz w:val="20"/>
                <w:szCs w:val="20"/>
              </w:rPr>
              <w:t>*</w:t>
            </w:r>
            <w:r>
              <w:rPr>
                <w:sz w:val="20"/>
                <w:szCs w:val="20"/>
              </w:rPr>
              <w:t>:</w:t>
            </w:r>
          </w:p>
          <w:p w:rsidR="00035D30" w:rsidRDefault="00035D30" w:rsidP="00035D30">
            <w:pPr>
              <w:pStyle w:val="NoSpacing"/>
              <w:numPr>
                <w:ilvl w:val="0"/>
                <w:numId w:val="1"/>
              </w:numPr>
              <w:rPr>
                <w:sz w:val="20"/>
                <w:szCs w:val="20"/>
              </w:rPr>
            </w:pPr>
            <w:r>
              <w:rPr>
                <w:sz w:val="20"/>
                <w:szCs w:val="20"/>
              </w:rPr>
              <w:t>GEAR UP for College Summer Programs</w:t>
            </w:r>
          </w:p>
          <w:p w:rsidR="00035D30" w:rsidRDefault="00035D30" w:rsidP="00035D30">
            <w:pPr>
              <w:pStyle w:val="NoSpacing"/>
              <w:numPr>
                <w:ilvl w:val="0"/>
                <w:numId w:val="1"/>
              </w:numPr>
              <w:rPr>
                <w:sz w:val="20"/>
                <w:szCs w:val="20"/>
              </w:rPr>
            </w:pPr>
            <w:r>
              <w:rPr>
                <w:sz w:val="20"/>
                <w:szCs w:val="20"/>
              </w:rPr>
              <w:t>Pathways to 21</w:t>
            </w:r>
            <w:r w:rsidRPr="00D4359C">
              <w:rPr>
                <w:sz w:val="20"/>
                <w:szCs w:val="20"/>
                <w:vertAlign w:val="superscript"/>
              </w:rPr>
              <w:t>st</w:t>
            </w:r>
            <w:r>
              <w:rPr>
                <w:sz w:val="20"/>
                <w:szCs w:val="20"/>
              </w:rPr>
              <w:t xml:space="preserve"> Century Careers</w:t>
            </w:r>
          </w:p>
          <w:p w:rsidR="00035D30" w:rsidRDefault="00035D30" w:rsidP="00035D30">
            <w:pPr>
              <w:pStyle w:val="NoSpacing"/>
              <w:numPr>
                <w:ilvl w:val="0"/>
                <w:numId w:val="1"/>
              </w:numPr>
              <w:rPr>
                <w:sz w:val="20"/>
                <w:szCs w:val="20"/>
              </w:rPr>
            </w:pPr>
            <w:r>
              <w:rPr>
                <w:sz w:val="20"/>
                <w:szCs w:val="20"/>
              </w:rPr>
              <w:t>United Black Student Conference</w:t>
            </w:r>
          </w:p>
          <w:p w:rsidR="00035D30" w:rsidRDefault="00035D30" w:rsidP="00035D30">
            <w:pPr>
              <w:pStyle w:val="NoSpacing"/>
              <w:numPr>
                <w:ilvl w:val="0"/>
                <w:numId w:val="1"/>
              </w:numPr>
              <w:rPr>
                <w:sz w:val="20"/>
                <w:szCs w:val="20"/>
              </w:rPr>
            </w:pPr>
            <w:proofErr w:type="spellStart"/>
            <w:r>
              <w:rPr>
                <w:sz w:val="20"/>
                <w:szCs w:val="20"/>
              </w:rPr>
              <w:t>Encuentros</w:t>
            </w:r>
            <w:proofErr w:type="spellEnd"/>
          </w:p>
          <w:p w:rsidR="00035D30" w:rsidRPr="00D4359C" w:rsidRDefault="00035D30" w:rsidP="00035D30">
            <w:pPr>
              <w:pStyle w:val="NoSpacing"/>
              <w:numPr>
                <w:ilvl w:val="0"/>
                <w:numId w:val="1"/>
              </w:numPr>
              <w:rPr>
                <w:sz w:val="20"/>
                <w:szCs w:val="20"/>
              </w:rPr>
            </w:pPr>
            <w:r>
              <w:rPr>
                <w:sz w:val="20"/>
                <w:szCs w:val="20"/>
              </w:rPr>
              <w:t>Financial aid and literacy education</w:t>
            </w:r>
          </w:p>
        </w:tc>
        <w:tc>
          <w:tcPr>
            <w:tcW w:w="1350" w:type="dxa"/>
            <w:vAlign w:val="center"/>
          </w:tcPr>
          <w:p w:rsidR="00035D30" w:rsidRPr="00FC3BF1" w:rsidRDefault="00035D30" w:rsidP="00035D30">
            <w:pPr>
              <w:pStyle w:val="NoSpacing"/>
              <w:rPr>
                <w:sz w:val="20"/>
                <w:szCs w:val="20"/>
              </w:rPr>
            </w:pPr>
            <w:r>
              <w:rPr>
                <w:sz w:val="20"/>
                <w:szCs w:val="20"/>
              </w:rPr>
              <w:t>$169,791</w:t>
            </w:r>
          </w:p>
        </w:tc>
      </w:tr>
      <w:tr w:rsidR="00035D30" w:rsidTr="00035D30">
        <w:tc>
          <w:tcPr>
            <w:tcW w:w="1417" w:type="dxa"/>
            <w:vMerge/>
          </w:tcPr>
          <w:p w:rsidR="00035D30" w:rsidRPr="00FC3BF1" w:rsidRDefault="00035D30" w:rsidP="00035D30">
            <w:pPr>
              <w:pStyle w:val="NoSpacing"/>
            </w:pPr>
          </w:p>
        </w:tc>
        <w:tc>
          <w:tcPr>
            <w:tcW w:w="1710" w:type="dxa"/>
            <w:shd w:val="clear" w:color="auto" w:fill="DEEAF6" w:themeFill="accent1" w:themeFillTint="33"/>
            <w:vAlign w:val="center"/>
          </w:tcPr>
          <w:p w:rsidR="00035D30" w:rsidRDefault="00035D30" w:rsidP="00035D30">
            <w:pPr>
              <w:pStyle w:val="NoSpacing"/>
              <w:rPr>
                <w:sz w:val="20"/>
                <w:szCs w:val="20"/>
              </w:rPr>
            </w:pPr>
            <w:r>
              <w:rPr>
                <w:sz w:val="20"/>
                <w:szCs w:val="20"/>
              </w:rPr>
              <w:t>LGBTQIA</w:t>
            </w:r>
          </w:p>
        </w:tc>
        <w:tc>
          <w:tcPr>
            <w:tcW w:w="1350" w:type="dxa"/>
            <w:shd w:val="clear" w:color="auto" w:fill="000000" w:themeFill="text1"/>
            <w:vAlign w:val="center"/>
          </w:tcPr>
          <w:p w:rsidR="00035D30" w:rsidRDefault="00035D30" w:rsidP="00035D30">
            <w:pPr>
              <w:pStyle w:val="NoSpacing"/>
              <w:rPr>
                <w:sz w:val="20"/>
                <w:szCs w:val="20"/>
              </w:rPr>
            </w:pPr>
          </w:p>
        </w:tc>
        <w:tc>
          <w:tcPr>
            <w:tcW w:w="1350" w:type="dxa"/>
            <w:shd w:val="clear" w:color="auto" w:fill="000000" w:themeFill="text1"/>
            <w:vAlign w:val="center"/>
          </w:tcPr>
          <w:p w:rsidR="00035D30" w:rsidRPr="00FC3BF1" w:rsidRDefault="00035D30" w:rsidP="00035D30">
            <w:pPr>
              <w:pStyle w:val="NoSpacing"/>
              <w:rPr>
                <w:sz w:val="20"/>
                <w:szCs w:val="20"/>
              </w:rPr>
            </w:pPr>
          </w:p>
        </w:tc>
        <w:tc>
          <w:tcPr>
            <w:tcW w:w="2250" w:type="dxa"/>
            <w:shd w:val="clear" w:color="auto" w:fill="000000" w:themeFill="text1"/>
            <w:vAlign w:val="center"/>
          </w:tcPr>
          <w:p w:rsidR="00035D30" w:rsidRDefault="00035D30" w:rsidP="00035D30">
            <w:pPr>
              <w:pStyle w:val="NoSpacing"/>
              <w:rPr>
                <w:sz w:val="20"/>
                <w:szCs w:val="20"/>
              </w:rPr>
            </w:pPr>
          </w:p>
        </w:tc>
        <w:tc>
          <w:tcPr>
            <w:tcW w:w="1440" w:type="dxa"/>
            <w:shd w:val="clear" w:color="auto" w:fill="000000" w:themeFill="text1"/>
          </w:tcPr>
          <w:p w:rsidR="00035D30" w:rsidRDefault="00035D30" w:rsidP="00035D30">
            <w:pPr>
              <w:pStyle w:val="NoSpacing"/>
              <w:rPr>
                <w:sz w:val="20"/>
                <w:szCs w:val="20"/>
              </w:rPr>
            </w:pPr>
          </w:p>
        </w:tc>
        <w:tc>
          <w:tcPr>
            <w:tcW w:w="3510" w:type="dxa"/>
            <w:shd w:val="clear" w:color="auto" w:fill="DEEAF6" w:themeFill="accent1" w:themeFillTint="33"/>
            <w:vAlign w:val="center"/>
          </w:tcPr>
          <w:p w:rsidR="00035D30" w:rsidRDefault="00035D30" w:rsidP="00035D30">
            <w:pPr>
              <w:pStyle w:val="NoSpacing"/>
              <w:rPr>
                <w:sz w:val="20"/>
                <w:szCs w:val="20"/>
              </w:rPr>
            </w:pPr>
            <w:r>
              <w:rPr>
                <w:sz w:val="20"/>
                <w:szCs w:val="20"/>
              </w:rPr>
              <w:t>Investigate the extent of LGBTQIA+ access gaps through survey analysis, snowball sampling, and focus groups and develop targeted outreach tactics based on findings.</w:t>
            </w:r>
            <w:r w:rsidR="006A74C0">
              <w:rPr>
                <w:sz w:val="20"/>
                <w:szCs w:val="20"/>
              </w:rPr>
              <w:t>*</w:t>
            </w:r>
          </w:p>
        </w:tc>
        <w:tc>
          <w:tcPr>
            <w:tcW w:w="1350" w:type="dxa"/>
            <w:shd w:val="clear" w:color="auto" w:fill="DEEAF6" w:themeFill="accent1" w:themeFillTint="33"/>
            <w:vAlign w:val="center"/>
          </w:tcPr>
          <w:p w:rsidR="00035D30" w:rsidRPr="00FC3BF1" w:rsidRDefault="00035D30" w:rsidP="00035D30">
            <w:pPr>
              <w:pStyle w:val="NoSpacing"/>
              <w:rPr>
                <w:sz w:val="20"/>
                <w:szCs w:val="20"/>
              </w:rPr>
            </w:pPr>
            <w:r>
              <w:rPr>
                <w:sz w:val="20"/>
                <w:szCs w:val="20"/>
              </w:rPr>
              <w:t>$15,912</w:t>
            </w:r>
          </w:p>
        </w:tc>
      </w:tr>
    </w:tbl>
    <w:p w:rsidR="00C34B50" w:rsidRDefault="00C34B50" w:rsidP="00C34B50">
      <w:pPr>
        <w:pStyle w:val="NoSpacing"/>
      </w:pPr>
    </w:p>
    <w:tbl>
      <w:tblPr>
        <w:tblStyle w:val="TableGrid"/>
        <w:tblW w:w="143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7"/>
        <w:gridCol w:w="1710"/>
        <w:gridCol w:w="1350"/>
        <w:gridCol w:w="1350"/>
        <w:gridCol w:w="2250"/>
        <w:gridCol w:w="1440"/>
        <w:gridCol w:w="3510"/>
        <w:gridCol w:w="1350"/>
      </w:tblGrid>
      <w:tr w:rsidR="00045560" w:rsidRPr="008F3225" w:rsidTr="00D81439">
        <w:tc>
          <w:tcPr>
            <w:tcW w:w="1417"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Success Indicator</w:t>
            </w:r>
          </w:p>
        </w:tc>
        <w:tc>
          <w:tcPr>
            <w:tcW w:w="171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Target Groups</w:t>
            </w:r>
          </w:p>
        </w:tc>
        <w:tc>
          <w:tcPr>
            <w:tcW w:w="135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Equity Index</w:t>
            </w:r>
          </w:p>
        </w:tc>
        <w:tc>
          <w:tcPr>
            <w:tcW w:w="135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Percentage Point Gap</w:t>
            </w:r>
          </w:p>
        </w:tc>
        <w:tc>
          <w:tcPr>
            <w:tcW w:w="225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Goal</w:t>
            </w:r>
          </w:p>
        </w:tc>
        <w:tc>
          <w:tcPr>
            <w:tcW w:w="144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Goal Progress as of fall 2017</w:t>
            </w:r>
          </w:p>
        </w:tc>
        <w:tc>
          <w:tcPr>
            <w:tcW w:w="351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Activities</w:t>
            </w:r>
          </w:p>
        </w:tc>
        <w:tc>
          <w:tcPr>
            <w:tcW w:w="1350" w:type="dxa"/>
            <w:tcBorders>
              <w:bottom w:val="single" w:sz="12" w:space="0" w:color="auto"/>
            </w:tcBorders>
            <w:shd w:val="clear" w:color="auto" w:fill="9CC2E5" w:themeFill="accent1" w:themeFillTint="99"/>
            <w:vAlign w:val="center"/>
          </w:tcPr>
          <w:p w:rsidR="00045560" w:rsidRPr="008F3225" w:rsidRDefault="00045560" w:rsidP="0032539E">
            <w:pPr>
              <w:pStyle w:val="NoSpacing"/>
              <w:jc w:val="center"/>
              <w:rPr>
                <w:b/>
                <w:sz w:val="24"/>
                <w:szCs w:val="24"/>
              </w:rPr>
            </w:pPr>
            <w:r w:rsidRPr="008F3225">
              <w:rPr>
                <w:b/>
                <w:sz w:val="24"/>
                <w:szCs w:val="24"/>
              </w:rPr>
              <w:t>SE Resources Budgeted</w:t>
            </w:r>
          </w:p>
        </w:tc>
      </w:tr>
      <w:tr w:rsidR="00045560" w:rsidTr="00D81439">
        <w:trPr>
          <w:trHeight w:val="1123"/>
        </w:trPr>
        <w:tc>
          <w:tcPr>
            <w:tcW w:w="1417" w:type="dxa"/>
            <w:vMerge w:val="restart"/>
            <w:tcBorders>
              <w:top w:val="single" w:sz="12" w:space="0" w:color="auto"/>
              <w:bottom w:val="single" w:sz="6" w:space="0" w:color="auto"/>
            </w:tcBorders>
            <w:textDirection w:val="btLr"/>
            <w:vAlign w:val="center"/>
          </w:tcPr>
          <w:p w:rsidR="00045560" w:rsidRPr="00762868" w:rsidRDefault="00045560" w:rsidP="0032539E">
            <w:pPr>
              <w:pStyle w:val="NoSpacing"/>
              <w:ind w:left="113" w:right="113"/>
              <w:jc w:val="center"/>
              <w:rPr>
                <w:b/>
                <w:sz w:val="32"/>
                <w:szCs w:val="32"/>
              </w:rPr>
            </w:pPr>
            <w:r>
              <w:rPr>
                <w:b/>
                <w:sz w:val="32"/>
                <w:szCs w:val="32"/>
              </w:rPr>
              <w:t>COURSE COMPLETION</w:t>
            </w:r>
          </w:p>
          <w:p w:rsidR="00045560" w:rsidRPr="005400BF" w:rsidRDefault="00045560" w:rsidP="0032539E">
            <w:pPr>
              <w:pStyle w:val="NoSpacing"/>
              <w:ind w:left="113" w:right="113"/>
              <w:jc w:val="center"/>
              <w:rPr>
                <w:sz w:val="17"/>
                <w:szCs w:val="17"/>
              </w:rPr>
            </w:pPr>
            <w:r w:rsidRPr="005400BF">
              <w:rPr>
                <w:sz w:val="17"/>
                <w:szCs w:val="17"/>
              </w:rPr>
              <w:t>The goal is to improve completion for target populations</w:t>
            </w:r>
          </w:p>
        </w:tc>
        <w:tc>
          <w:tcPr>
            <w:tcW w:w="171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Males</w:t>
            </w:r>
          </w:p>
        </w:tc>
        <w:tc>
          <w:tcPr>
            <w:tcW w:w="135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0.98</w:t>
            </w:r>
          </w:p>
        </w:tc>
        <w:tc>
          <w:tcPr>
            <w:tcW w:w="135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2.4% below average</w:t>
            </w:r>
          </w:p>
        </w:tc>
        <w:tc>
          <w:tcPr>
            <w:tcW w:w="225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Reduce gap to 1%</w:t>
            </w:r>
          </w:p>
        </w:tc>
        <w:tc>
          <w:tcPr>
            <w:tcW w:w="144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1.5%</w:t>
            </w:r>
            <w:r w:rsidR="00053DF2">
              <w:rPr>
                <w:sz w:val="20"/>
                <w:szCs w:val="20"/>
              </w:rPr>
              <w:t xml:space="preserve"> below average</w:t>
            </w:r>
          </w:p>
        </w:tc>
        <w:tc>
          <w:tcPr>
            <w:tcW w:w="351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Increase male participation in Academic Success &amp; Equity (ASE) programs and learning communities.</w:t>
            </w:r>
            <w:r w:rsidR="006A74C0">
              <w:rPr>
                <w:sz w:val="20"/>
                <w:szCs w:val="20"/>
              </w:rPr>
              <w:t>*</w:t>
            </w:r>
          </w:p>
        </w:tc>
        <w:tc>
          <w:tcPr>
            <w:tcW w:w="1350" w:type="dxa"/>
            <w:tcBorders>
              <w:top w:val="single" w:sz="12" w:space="0" w:color="auto"/>
              <w:bottom w:val="single" w:sz="6" w:space="0" w:color="auto"/>
            </w:tcBorders>
            <w:vAlign w:val="center"/>
          </w:tcPr>
          <w:p w:rsidR="00045560" w:rsidRPr="00FC3BF1" w:rsidRDefault="00045560" w:rsidP="0032539E">
            <w:pPr>
              <w:pStyle w:val="NoSpacing"/>
              <w:rPr>
                <w:sz w:val="20"/>
                <w:szCs w:val="20"/>
              </w:rPr>
            </w:pPr>
            <w:r>
              <w:rPr>
                <w:sz w:val="20"/>
                <w:szCs w:val="20"/>
              </w:rPr>
              <w:t>$107,559</w:t>
            </w:r>
          </w:p>
        </w:tc>
      </w:tr>
      <w:tr w:rsidR="00045560" w:rsidTr="00D81439">
        <w:trPr>
          <w:trHeight w:val="1123"/>
        </w:trPr>
        <w:tc>
          <w:tcPr>
            <w:tcW w:w="1417" w:type="dxa"/>
            <w:vMerge/>
            <w:tcBorders>
              <w:top w:val="single" w:sz="6" w:space="0" w:color="auto"/>
              <w:bottom w:val="single" w:sz="6" w:space="0" w:color="auto"/>
            </w:tcBorders>
          </w:tcPr>
          <w:p w:rsidR="00045560" w:rsidRPr="00FC3BF1" w:rsidRDefault="00045560" w:rsidP="0032539E">
            <w:pPr>
              <w:pStyle w:val="NoSpacing"/>
            </w:pPr>
          </w:p>
        </w:tc>
        <w:tc>
          <w:tcPr>
            <w:tcW w:w="171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Black / African American</w:t>
            </w:r>
          </w:p>
        </w:tc>
        <w:tc>
          <w:tcPr>
            <w:tcW w:w="135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0.89</w:t>
            </w:r>
          </w:p>
        </w:tc>
        <w:tc>
          <w:tcPr>
            <w:tcW w:w="135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8.7% below average</w:t>
            </w:r>
          </w:p>
        </w:tc>
        <w:tc>
          <w:tcPr>
            <w:tcW w:w="225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Reduce gap to 3%</w:t>
            </w:r>
          </w:p>
        </w:tc>
        <w:tc>
          <w:tcPr>
            <w:tcW w:w="144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11.5%</w:t>
            </w:r>
            <w:r w:rsidR="00053DF2">
              <w:rPr>
                <w:sz w:val="20"/>
                <w:szCs w:val="20"/>
              </w:rPr>
              <w:t xml:space="preserve"> below average</w:t>
            </w:r>
          </w:p>
        </w:tc>
        <w:tc>
          <w:tcPr>
            <w:tcW w:w="351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Expand the Umoja Program to offer students enhanced support services.</w:t>
            </w:r>
            <w:r w:rsidR="006A74C0">
              <w:rPr>
                <w:sz w:val="20"/>
                <w:szCs w:val="20"/>
              </w:rPr>
              <w:t>*</w:t>
            </w:r>
          </w:p>
        </w:tc>
        <w:tc>
          <w:tcPr>
            <w:tcW w:w="1350" w:type="dxa"/>
            <w:tcBorders>
              <w:top w:val="single" w:sz="6" w:space="0" w:color="auto"/>
              <w:bottom w:val="single" w:sz="6" w:space="0" w:color="auto"/>
            </w:tcBorders>
            <w:shd w:val="clear" w:color="auto" w:fill="DEEAF6" w:themeFill="accent1" w:themeFillTint="33"/>
            <w:vAlign w:val="center"/>
          </w:tcPr>
          <w:p w:rsidR="00045560" w:rsidRPr="00FC3BF1" w:rsidRDefault="00045560" w:rsidP="0032539E">
            <w:pPr>
              <w:pStyle w:val="NoSpacing"/>
              <w:rPr>
                <w:sz w:val="20"/>
                <w:szCs w:val="20"/>
              </w:rPr>
            </w:pPr>
            <w:r>
              <w:rPr>
                <w:sz w:val="20"/>
                <w:szCs w:val="20"/>
              </w:rPr>
              <w:t>$64,129</w:t>
            </w:r>
          </w:p>
        </w:tc>
      </w:tr>
      <w:tr w:rsidR="00045560" w:rsidTr="00D81439">
        <w:trPr>
          <w:trHeight w:val="1123"/>
        </w:trPr>
        <w:tc>
          <w:tcPr>
            <w:tcW w:w="1417" w:type="dxa"/>
            <w:vMerge/>
            <w:tcBorders>
              <w:top w:val="single" w:sz="6" w:space="0" w:color="auto"/>
              <w:bottom w:val="single" w:sz="12" w:space="0" w:color="auto"/>
            </w:tcBorders>
          </w:tcPr>
          <w:p w:rsidR="00045560" w:rsidRPr="00FC3BF1" w:rsidRDefault="00045560" w:rsidP="0032539E">
            <w:pPr>
              <w:pStyle w:val="NoSpacing"/>
            </w:pPr>
          </w:p>
        </w:tc>
        <w:tc>
          <w:tcPr>
            <w:tcW w:w="1710" w:type="dxa"/>
            <w:tcBorders>
              <w:top w:val="single" w:sz="6" w:space="0" w:color="auto"/>
              <w:bottom w:val="single" w:sz="12" w:space="0" w:color="auto"/>
            </w:tcBorders>
            <w:vAlign w:val="center"/>
          </w:tcPr>
          <w:p w:rsidR="00045560" w:rsidRDefault="00045560" w:rsidP="0032539E">
            <w:pPr>
              <w:pStyle w:val="NoSpacing"/>
              <w:rPr>
                <w:sz w:val="20"/>
                <w:szCs w:val="20"/>
              </w:rPr>
            </w:pPr>
            <w:r>
              <w:rPr>
                <w:sz w:val="20"/>
                <w:szCs w:val="20"/>
              </w:rPr>
              <w:t>Hispanic / Latino</w:t>
            </w:r>
          </w:p>
        </w:tc>
        <w:tc>
          <w:tcPr>
            <w:tcW w:w="1350" w:type="dxa"/>
            <w:tcBorders>
              <w:top w:val="single" w:sz="6" w:space="0" w:color="auto"/>
              <w:bottom w:val="single" w:sz="12" w:space="0" w:color="auto"/>
            </w:tcBorders>
            <w:vAlign w:val="center"/>
          </w:tcPr>
          <w:p w:rsidR="00045560" w:rsidRDefault="00045560" w:rsidP="0032539E">
            <w:pPr>
              <w:pStyle w:val="NoSpacing"/>
              <w:rPr>
                <w:sz w:val="20"/>
                <w:szCs w:val="20"/>
              </w:rPr>
            </w:pPr>
            <w:r>
              <w:rPr>
                <w:sz w:val="20"/>
                <w:szCs w:val="20"/>
              </w:rPr>
              <w:t>0.94</w:t>
            </w:r>
          </w:p>
        </w:tc>
        <w:tc>
          <w:tcPr>
            <w:tcW w:w="1350" w:type="dxa"/>
            <w:tcBorders>
              <w:top w:val="single" w:sz="6" w:space="0" w:color="auto"/>
              <w:bottom w:val="single" w:sz="12" w:space="0" w:color="auto"/>
            </w:tcBorders>
            <w:vAlign w:val="center"/>
          </w:tcPr>
          <w:p w:rsidR="00045560" w:rsidRPr="00FC3BF1" w:rsidRDefault="00045560" w:rsidP="0032539E">
            <w:pPr>
              <w:pStyle w:val="NoSpacing"/>
              <w:rPr>
                <w:sz w:val="20"/>
                <w:szCs w:val="20"/>
              </w:rPr>
            </w:pPr>
            <w:r>
              <w:rPr>
                <w:sz w:val="20"/>
                <w:szCs w:val="20"/>
              </w:rPr>
              <w:t>4.0% below average</w:t>
            </w:r>
          </w:p>
        </w:tc>
        <w:tc>
          <w:tcPr>
            <w:tcW w:w="2250" w:type="dxa"/>
            <w:tcBorders>
              <w:top w:val="single" w:sz="6" w:space="0" w:color="auto"/>
              <w:bottom w:val="single" w:sz="12" w:space="0" w:color="auto"/>
            </w:tcBorders>
            <w:vAlign w:val="center"/>
          </w:tcPr>
          <w:p w:rsidR="00045560" w:rsidRDefault="00045560" w:rsidP="0032539E">
            <w:pPr>
              <w:pStyle w:val="NoSpacing"/>
              <w:rPr>
                <w:sz w:val="20"/>
                <w:szCs w:val="20"/>
              </w:rPr>
            </w:pPr>
            <w:r>
              <w:rPr>
                <w:sz w:val="20"/>
                <w:szCs w:val="20"/>
              </w:rPr>
              <w:t>Reduce gap to 2%</w:t>
            </w:r>
          </w:p>
        </w:tc>
        <w:tc>
          <w:tcPr>
            <w:tcW w:w="1440" w:type="dxa"/>
            <w:tcBorders>
              <w:top w:val="single" w:sz="6" w:space="0" w:color="auto"/>
              <w:bottom w:val="single" w:sz="12" w:space="0" w:color="auto"/>
            </w:tcBorders>
            <w:vAlign w:val="center"/>
          </w:tcPr>
          <w:p w:rsidR="00045560" w:rsidRPr="00FC3BF1" w:rsidRDefault="00045560" w:rsidP="0032539E">
            <w:pPr>
              <w:pStyle w:val="NoSpacing"/>
              <w:rPr>
                <w:sz w:val="20"/>
                <w:szCs w:val="20"/>
              </w:rPr>
            </w:pPr>
            <w:r>
              <w:rPr>
                <w:sz w:val="20"/>
                <w:szCs w:val="20"/>
              </w:rPr>
              <w:t>4.0%</w:t>
            </w:r>
            <w:r w:rsidR="00053DF2">
              <w:rPr>
                <w:sz w:val="20"/>
                <w:szCs w:val="20"/>
              </w:rPr>
              <w:t xml:space="preserve"> below average</w:t>
            </w:r>
          </w:p>
        </w:tc>
        <w:tc>
          <w:tcPr>
            <w:tcW w:w="3510" w:type="dxa"/>
            <w:tcBorders>
              <w:top w:val="single" w:sz="6" w:space="0" w:color="auto"/>
              <w:bottom w:val="single" w:sz="12" w:space="0" w:color="auto"/>
            </w:tcBorders>
            <w:vAlign w:val="center"/>
          </w:tcPr>
          <w:p w:rsidR="00045560" w:rsidRDefault="00045560" w:rsidP="0032539E">
            <w:pPr>
              <w:pStyle w:val="NoSpacing"/>
              <w:rPr>
                <w:sz w:val="20"/>
                <w:szCs w:val="20"/>
              </w:rPr>
            </w:pPr>
            <w:r>
              <w:rPr>
                <w:sz w:val="20"/>
                <w:szCs w:val="20"/>
              </w:rPr>
              <w:t>Expand the Puente Program to offer enhanced support services.</w:t>
            </w:r>
            <w:r w:rsidR="006A74C0">
              <w:rPr>
                <w:sz w:val="20"/>
                <w:szCs w:val="20"/>
              </w:rPr>
              <w:t>*</w:t>
            </w:r>
          </w:p>
        </w:tc>
        <w:tc>
          <w:tcPr>
            <w:tcW w:w="1350" w:type="dxa"/>
            <w:tcBorders>
              <w:top w:val="single" w:sz="6" w:space="0" w:color="auto"/>
              <w:bottom w:val="single" w:sz="12" w:space="0" w:color="auto"/>
            </w:tcBorders>
            <w:vAlign w:val="center"/>
          </w:tcPr>
          <w:p w:rsidR="00045560" w:rsidRPr="00FC3BF1" w:rsidRDefault="00045560" w:rsidP="0032539E">
            <w:pPr>
              <w:pStyle w:val="NoSpacing"/>
              <w:rPr>
                <w:sz w:val="20"/>
                <w:szCs w:val="20"/>
              </w:rPr>
            </w:pPr>
            <w:r>
              <w:rPr>
                <w:sz w:val="20"/>
                <w:szCs w:val="20"/>
              </w:rPr>
              <w:t>$57,629</w:t>
            </w:r>
          </w:p>
        </w:tc>
      </w:tr>
      <w:tr w:rsidR="00045560" w:rsidRPr="00F81811" w:rsidTr="00035D30">
        <w:trPr>
          <w:trHeight w:val="790"/>
        </w:trPr>
        <w:tc>
          <w:tcPr>
            <w:tcW w:w="1417" w:type="dxa"/>
            <w:vMerge w:val="restart"/>
            <w:tcBorders>
              <w:top w:val="single" w:sz="12" w:space="0" w:color="auto"/>
              <w:bottom w:val="single" w:sz="6" w:space="0" w:color="auto"/>
            </w:tcBorders>
            <w:textDirection w:val="btLr"/>
            <w:vAlign w:val="center"/>
          </w:tcPr>
          <w:p w:rsidR="00045560" w:rsidRPr="00762868" w:rsidRDefault="00045560" w:rsidP="0032539E">
            <w:pPr>
              <w:pStyle w:val="NoSpacing"/>
              <w:ind w:left="113" w:right="113"/>
              <w:jc w:val="center"/>
              <w:rPr>
                <w:b/>
                <w:sz w:val="32"/>
                <w:szCs w:val="32"/>
              </w:rPr>
            </w:pPr>
            <w:r>
              <w:rPr>
                <w:b/>
                <w:sz w:val="32"/>
                <w:szCs w:val="32"/>
              </w:rPr>
              <w:t>ESL / BASIC SKILLS COMPLETION</w:t>
            </w:r>
          </w:p>
          <w:p w:rsidR="00045560" w:rsidRPr="005400BF" w:rsidRDefault="00045560" w:rsidP="0032539E">
            <w:pPr>
              <w:pStyle w:val="NoSpacing"/>
              <w:ind w:left="113" w:right="113"/>
              <w:jc w:val="center"/>
              <w:rPr>
                <w:sz w:val="17"/>
                <w:szCs w:val="17"/>
              </w:rPr>
            </w:pPr>
            <w:r w:rsidRPr="005400BF">
              <w:rPr>
                <w:sz w:val="17"/>
                <w:szCs w:val="17"/>
              </w:rPr>
              <w:t>The goal is to improve ESL and basic skills completion for target populations</w:t>
            </w:r>
          </w:p>
        </w:tc>
        <w:tc>
          <w:tcPr>
            <w:tcW w:w="1710" w:type="dxa"/>
            <w:vMerge w:val="restart"/>
            <w:tcBorders>
              <w:top w:val="single" w:sz="12"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Males</w:t>
            </w:r>
          </w:p>
        </w:tc>
        <w:tc>
          <w:tcPr>
            <w:tcW w:w="1350" w:type="dxa"/>
            <w:vMerge w:val="restart"/>
            <w:tcBorders>
              <w:top w:val="single" w:sz="12"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0.8 (ESL)</w:t>
            </w:r>
          </w:p>
        </w:tc>
        <w:tc>
          <w:tcPr>
            <w:tcW w:w="1350" w:type="dxa"/>
            <w:vMerge w:val="restart"/>
            <w:tcBorders>
              <w:top w:val="single" w:sz="12"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5.9% below average</w:t>
            </w:r>
          </w:p>
        </w:tc>
        <w:tc>
          <w:tcPr>
            <w:tcW w:w="2250" w:type="dxa"/>
            <w:vMerge w:val="restart"/>
            <w:tcBorders>
              <w:top w:val="single" w:sz="12"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Reduce gap to 2%</w:t>
            </w:r>
          </w:p>
        </w:tc>
        <w:tc>
          <w:tcPr>
            <w:tcW w:w="1440" w:type="dxa"/>
            <w:vMerge w:val="restart"/>
            <w:tcBorders>
              <w:top w:val="single" w:sz="12"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3.0%</w:t>
            </w:r>
            <w:r w:rsidR="00053DF2">
              <w:rPr>
                <w:sz w:val="20"/>
                <w:szCs w:val="20"/>
              </w:rPr>
              <w:t xml:space="preserve"> above average</w:t>
            </w:r>
          </w:p>
        </w:tc>
        <w:tc>
          <w:tcPr>
            <w:tcW w:w="3510" w:type="dxa"/>
            <w:tcBorders>
              <w:top w:val="single" w:sz="12" w:space="0" w:color="auto"/>
              <w:bottom w:val="single" w:sz="6" w:space="0" w:color="auto"/>
            </w:tcBorders>
            <w:vAlign w:val="center"/>
          </w:tcPr>
          <w:p w:rsidR="00045560" w:rsidRPr="001C4D21" w:rsidRDefault="00045560" w:rsidP="0032539E">
            <w:pPr>
              <w:pStyle w:val="NoSpacing"/>
              <w:rPr>
                <w:sz w:val="20"/>
                <w:szCs w:val="20"/>
              </w:rPr>
            </w:pPr>
            <w:r>
              <w:rPr>
                <w:sz w:val="20"/>
                <w:szCs w:val="20"/>
              </w:rPr>
              <w:t>Scale the Bridge to Success program to serve all basic skills math students.</w:t>
            </w:r>
            <w:r w:rsidR="006A74C0">
              <w:rPr>
                <w:sz w:val="20"/>
                <w:szCs w:val="20"/>
              </w:rPr>
              <w:t>*</w:t>
            </w:r>
          </w:p>
        </w:tc>
        <w:tc>
          <w:tcPr>
            <w:tcW w:w="1350" w:type="dxa"/>
            <w:tcBorders>
              <w:top w:val="single" w:sz="12" w:space="0" w:color="auto"/>
              <w:bottom w:val="single" w:sz="6" w:space="0" w:color="auto"/>
            </w:tcBorders>
            <w:vAlign w:val="center"/>
          </w:tcPr>
          <w:p w:rsidR="00045560" w:rsidRPr="001C4D21" w:rsidRDefault="00045560" w:rsidP="0032539E">
            <w:pPr>
              <w:pStyle w:val="NoSpacing"/>
              <w:rPr>
                <w:sz w:val="20"/>
                <w:szCs w:val="20"/>
              </w:rPr>
            </w:pPr>
            <w:r>
              <w:rPr>
                <w:sz w:val="20"/>
                <w:szCs w:val="20"/>
              </w:rPr>
              <w:t>$15,912</w:t>
            </w:r>
          </w:p>
        </w:tc>
      </w:tr>
      <w:tr w:rsidR="00045560" w:rsidRPr="00F81811" w:rsidTr="00035D30">
        <w:trPr>
          <w:trHeight w:val="390"/>
        </w:trPr>
        <w:tc>
          <w:tcPr>
            <w:tcW w:w="1417" w:type="dxa"/>
            <w:vMerge/>
            <w:tcBorders>
              <w:top w:val="single" w:sz="6" w:space="0" w:color="auto"/>
              <w:bottom w:val="single" w:sz="6" w:space="0" w:color="auto"/>
            </w:tcBorders>
          </w:tcPr>
          <w:p w:rsidR="00045560" w:rsidRPr="00F81811" w:rsidRDefault="00045560" w:rsidP="0032539E">
            <w:pPr>
              <w:pStyle w:val="NoSpacing"/>
              <w:rPr>
                <w:sz w:val="8"/>
                <w:szCs w:val="8"/>
              </w:rPr>
            </w:pPr>
          </w:p>
        </w:tc>
        <w:tc>
          <w:tcPr>
            <w:tcW w:w="171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225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44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351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Implement best practices for embedded and intrusive counseling / advising and instructional support in pre-transfer courses.</w:t>
            </w:r>
            <w:r w:rsidR="006A74C0">
              <w:rPr>
                <w:sz w:val="20"/>
                <w:szCs w:val="20"/>
              </w:rPr>
              <w:t>*</w:t>
            </w:r>
          </w:p>
        </w:tc>
        <w:tc>
          <w:tcPr>
            <w:tcW w:w="13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$15,912</w:t>
            </w:r>
          </w:p>
        </w:tc>
      </w:tr>
      <w:tr w:rsidR="00045560" w:rsidRPr="00F81811" w:rsidTr="00035D30">
        <w:trPr>
          <w:trHeight w:val="390"/>
        </w:trPr>
        <w:tc>
          <w:tcPr>
            <w:tcW w:w="1417" w:type="dxa"/>
            <w:vMerge/>
            <w:tcBorders>
              <w:top w:val="single" w:sz="6" w:space="0" w:color="auto"/>
              <w:bottom w:val="single" w:sz="6" w:space="0" w:color="auto"/>
            </w:tcBorders>
          </w:tcPr>
          <w:p w:rsidR="00045560" w:rsidRPr="00F81811" w:rsidRDefault="00045560" w:rsidP="0032539E">
            <w:pPr>
              <w:pStyle w:val="NoSpacing"/>
              <w:rPr>
                <w:sz w:val="8"/>
                <w:szCs w:val="8"/>
              </w:rPr>
            </w:pPr>
          </w:p>
        </w:tc>
        <w:tc>
          <w:tcPr>
            <w:tcW w:w="171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350" w:type="dxa"/>
            <w:vMerge w:val="restart"/>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1.0 (Math)</w:t>
            </w:r>
          </w:p>
        </w:tc>
        <w:tc>
          <w:tcPr>
            <w:tcW w:w="1350" w:type="dxa"/>
            <w:vMerge w:val="restart"/>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0.2% below average</w:t>
            </w:r>
          </w:p>
        </w:tc>
        <w:tc>
          <w:tcPr>
            <w:tcW w:w="2250" w:type="dxa"/>
            <w:vMerge w:val="restart"/>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r>
              <w:rPr>
                <w:sz w:val="20"/>
                <w:szCs w:val="20"/>
              </w:rPr>
              <w:t>Eliminate gap</w:t>
            </w:r>
          </w:p>
        </w:tc>
        <w:tc>
          <w:tcPr>
            <w:tcW w:w="1440" w:type="dxa"/>
            <w:vMerge w:val="restart"/>
            <w:tcBorders>
              <w:top w:val="single" w:sz="6" w:space="0" w:color="auto"/>
              <w:bottom w:val="single" w:sz="6" w:space="0" w:color="auto"/>
            </w:tcBorders>
            <w:shd w:val="clear" w:color="auto" w:fill="DEEAF6" w:themeFill="accent1" w:themeFillTint="33"/>
            <w:vAlign w:val="center"/>
          </w:tcPr>
          <w:p w:rsidR="00045560" w:rsidRPr="001C4D21" w:rsidRDefault="00053DF2" w:rsidP="00053DF2">
            <w:pPr>
              <w:pStyle w:val="NoSpacing"/>
              <w:rPr>
                <w:sz w:val="20"/>
                <w:szCs w:val="20"/>
              </w:rPr>
            </w:pPr>
            <w:r>
              <w:rPr>
                <w:sz w:val="20"/>
                <w:szCs w:val="20"/>
              </w:rPr>
              <w:t>2.8% below average</w:t>
            </w:r>
          </w:p>
        </w:tc>
        <w:tc>
          <w:tcPr>
            <w:tcW w:w="351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r>
      <w:tr w:rsidR="00045560" w:rsidRPr="00F81811" w:rsidTr="00035D30">
        <w:trPr>
          <w:trHeight w:val="790"/>
        </w:trPr>
        <w:tc>
          <w:tcPr>
            <w:tcW w:w="1417" w:type="dxa"/>
            <w:vMerge/>
            <w:tcBorders>
              <w:top w:val="single" w:sz="6" w:space="0" w:color="auto"/>
              <w:bottom w:val="single" w:sz="6" w:space="0" w:color="auto"/>
            </w:tcBorders>
          </w:tcPr>
          <w:p w:rsidR="00045560" w:rsidRPr="00F81811" w:rsidRDefault="00045560" w:rsidP="0032539E">
            <w:pPr>
              <w:pStyle w:val="NoSpacing"/>
              <w:rPr>
                <w:sz w:val="8"/>
                <w:szCs w:val="8"/>
              </w:rPr>
            </w:pPr>
          </w:p>
        </w:tc>
        <w:tc>
          <w:tcPr>
            <w:tcW w:w="171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2250" w:type="dxa"/>
            <w:vMerge/>
            <w:tcBorders>
              <w:top w:val="single" w:sz="6" w:space="0" w:color="auto"/>
              <w:bottom w:val="single" w:sz="6" w:space="0" w:color="auto"/>
            </w:tcBorders>
            <w:shd w:val="clear" w:color="auto" w:fill="DEEAF6" w:themeFill="accent1" w:themeFillTint="33"/>
            <w:vAlign w:val="center"/>
          </w:tcPr>
          <w:p w:rsidR="00045560" w:rsidRPr="001C4D21" w:rsidRDefault="00045560" w:rsidP="0032539E">
            <w:pPr>
              <w:pStyle w:val="NoSpacing"/>
              <w:rPr>
                <w:sz w:val="20"/>
                <w:szCs w:val="20"/>
              </w:rPr>
            </w:pPr>
          </w:p>
        </w:tc>
        <w:tc>
          <w:tcPr>
            <w:tcW w:w="1440" w:type="dxa"/>
            <w:vMerge/>
            <w:tcBorders>
              <w:top w:val="single" w:sz="6" w:space="0" w:color="auto"/>
              <w:bottom w:val="single" w:sz="6" w:space="0" w:color="auto"/>
            </w:tcBorders>
            <w:shd w:val="clear" w:color="auto" w:fill="DEEAF6" w:themeFill="accent1" w:themeFillTint="33"/>
            <w:vAlign w:val="center"/>
          </w:tcPr>
          <w:p w:rsidR="00045560" w:rsidRDefault="00045560" w:rsidP="00053DF2">
            <w:pPr>
              <w:pStyle w:val="NoSpacing"/>
              <w:rPr>
                <w:sz w:val="20"/>
                <w:szCs w:val="20"/>
              </w:rPr>
            </w:pPr>
          </w:p>
        </w:tc>
        <w:tc>
          <w:tcPr>
            <w:tcW w:w="3510" w:type="dxa"/>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Participate in the Statewide Multiple Measures Assessment project for English and math placement.</w:t>
            </w:r>
            <w:r w:rsidR="006A74C0">
              <w:rPr>
                <w:sz w:val="20"/>
                <w:szCs w:val="20"/>
              </w:rPr>
              <w:t>*</w:t>
            </w:r>
          </w:p>
        </w:tc>
        <w:tc>
          <w:tcPr>
            <w:tcW w:w="1350" w:type="dxa"/>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$15,912</w:t>
            </w:r>
          </w:p>
        </w:tc>
      </w:tr>
      <w:tr w:rsidR="00045560" w:rsidRPr="00F81811" w:rsidTr="00035D30">
        <w:trPr>
          <w:trHeight w:val="790"/>
        </w:trPr>
        <w:tc>
          <w:tcPr>
            <w:tcW w:w="1417" w:type="dxa"/>
            <w:vMerge/>
            <w:tcBorders>
              <w:top w:val="single" w:sz="6" w:space="0" w:color="auto"/>
              <w:bottom w:val="single" w:sz="6" w:space="0" w:color="auto"/>
            </w:tcBorders>
          </w:tcPr>
          <w:p w:rsidR="00045560" w:rsidRPr="00F81811" w:rsidRDefault="00045560" w:rsidP="0032539E">
            <w:pPr>
              <w:pStyle w:val="NoSpacing"/>
              <w:rPr>
                <w:sz w:val="8"/>
                <w:szCs w:val="8"/>
              </w:rPr>
            </w:pPr>
          </w:p>
        </w:tc>
        <w:tc>
          <w:tcPr>
            <w:tcW w:w="1710" w:type="dxa"/>
            <w:vMerge w:val="restart"/>
            <w:tcBorders>
              <w:top w:val="single" w:sz="6" w:space="0" w:color="auto"/>
              <w:bottom w:val="single" w:sz="6" w:space="0" w:color="auto"/>
            </w:tcBorders>
            <w:vAlign w:val="center"/>
          </w:tcPr>
          <w:p w:rsidR="00045560" w:rsidRDefault="00045560" w:rsidP="0032539E">
            <w:pPr>
              <w:pStyle w:val="NoSpacing"/>
              <w:rPr>
                <w:sz w:val="20"/>
                <w:szCs w:val="20"/>
              </w:rPr>
            </w:pPr>
            <w:r>
              <w:rPr>
                <w:sz w:val="20"/>
                <w:szCs w:val="20"/>
              </w:rPr>
              <w:t xml:space="preserve">Targeted Men of Color </w:t>
            </w:r>
          </w:p>
          <w:p w:rsidR="00045560" w:rsidRPr="00B11351" w:rsidRDefault="00045560" w:rsidP="0032539E">
            <w:pPr>
              <w:pStyle w:val="NoSpacing"/>
              <w:rPr>
                <w:sz w:val="16"/>
                <w:szCs w:val="16"/>
              </w:rPr>
            </w:pPr>
            <w:r w:rsidRPr="00B11351">
              <w:rPr>
                <w:sz w:val="16"/>
                <w:szCs w:val="16"/>
              </w:rPr>
              <w:t>(Black / African-American, Filipino, Hispanic / Latino, Native American / Alaska Native, Pacific Islander / Native Hawaiian)</w:t>
            </w:r>
          </w:p>
        </w:tc>
        <w:tc>
          <w:tcPr>
            <w:tcW w:w="13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0.8 (English)</w:t>
            </w:r>
          </w:p>
        </w:tc>
        <w:tc>
          <w:tcPr>
            <w:tcW w:w="13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6.3% below average</w:t>
            </w:r>
          </w:p>
        </w:tc>
        <w:tc>
          <w:tcPr>
            <w:tcW w:w="22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Reduce gap to 3%</w:t>
            </w:r>
          </w:p>
        </w:tc>
        <w:tc>
          <w:tcPr>
            <w:tcW w:w="1440" w:type="dxa"/>
            <w:vMerge w:val="restart"/>
            <w:tcBorders>
              <w:top w:val="single" w:sz="6" w:space="0" w:color="auto"/>
              <w:bottom w:val="single" w:sz="6" w:space="0" w:color="auto"/>
            </w:tcBorders>
            <w:vAlign w:val="center"/>
          </w:tcPr>
          <w:p w:rsidR="00045560" w:rsidRDefault="00053DF2" w:rsidP="00053DF2">
            <w:pPr>
              <w:pStyle w:val="NoSpacing"/>
              <w:rPr>
                <w:sz w:val="20"/>
                <w:szCs w:val="20"/>
              </w:rPr>
            </w:pPr>
            <w:r>
              <w:rPr>
                <w:sz w:val="20"/>
                <w:szCs w:val="20"/>
              </w:rPr>
              <w:t>2.8% below average</w:t>
            </w:r>
          </w:p>
        </w:tc>
        <w:tc>
          <w:tcPr>
            <w:tcW w:w="3510" w:type="dxa"/>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Scale accelerated English courses to assist students with basic s</w:t>
            </w:r>
            <w:r w:rsidR="00D71A02">
              <w:rPr>
                <w:sz w:val="20"/>
                <w:szCs w:val="20"/>
              </w:rPr>
              <w:t>kills English course completion and progression</w:t>
            </w:r>
            <w:r>
              <w:rPr>
                <w:sz w:val="20"/>
                <w:szCs w:val="20"/>
              </w:rPr>
              <w:t>.</w:t>
            </w:r>
            <w:r w:rsidR="006A74C0">
              <w:rPr>
                <w:sz w:val="20"/>
                <w:szCs w:val="20"/>
              </w:rPr>
              <w:t>*</w:t>
            </w:r>
          </w:p>
        </w:tc>
        <w:tc>
          <w:tcPr>
            <w:tcW w:w="1350" w:type="dxa"/>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$15,912</w:t>
            </w:r>
          </w:p>
        </w:tc>
      </w:tr>
      <w:tr w:rsidR="00045560" w:rsidRPr="00F81811" w:rsidTr="00035D30">
        <w:trPr>
          <w:trHeight w:val="390"/>
        </w:trPr>
        <w:tc>
          <w:tcPr>
            <w:tcW w:w="1417" w:type="dxa"/>
            <w:vMerge/>
            <w:tcBorders>
              <w:top w:val="single" w:sz="6" w:space="0" w:color="auto"/>
              <w:bottom w:val="single" w:sz="6" w:space="0" w:color="auto"/>
            </w:tcBorders>
          </w:tcPr>
          <w:p w:rsidR="00045560" w:rsidRPr="00F81811" w:rsidRDefault="00045560" w:rsidP="0032539E">
            <w:pPr>
              <w:pStyle w:val="NoSpacing"/>
              <w:rPr>
                <w:sz w:val="8"/>
                <w:szCs w:val="8"/>
              </w:rPr>
            </w:pPr>
          </w:p>
        </w:tc>
        <w:tc>
          <w:tcPr>
            <w:tcW w:w="171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225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1440" w:type="dxa"/>
            <w:vMerge/>
            <w:tcBorders>
              <w:top w:val="single" w:sz="6" w:space="0" w:color="auto"/>
              <w:bottom w:val="single" w:sz="6" w:space="0" w:color="auto"/>
            </w:tcBorders>
            <w:vAlign w:val="center"/>
          </w:tcPr>
          <w:p w:rsidR="00045560" w:rsidRDefault="00045560" w:rsidP="00053DF2">
            <w:pPr>
              <w:pStyle w:val="NoSpacing"/>
              <w:rPr>
                <w:sz w:val="20"/>
                <w:szCs w:val="20"/>
              </w:rPr>
            </w:pPr>
          </w:p>
        </w:tc>
        <w:tc>
          <w:tcPr>
            <w:tcW w:w="351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Implement institution-wide professional development opportunities for faculty to learn about key strategies for teaching men of color.</w:t>
            </w:r>
            <w:r w:rsidR="006A74C0">
              <w:rPr>
                <w:sz w:val="20"/>
                <w:szCs w:val="20"/>
              </w:rPr>
              <w:t>*</w:t>
            </w:r>
          </w:p>
        </w:tc>
        <w:tc>
          <w:tcPr>
            <w:tcW w:w="13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$40,579</w:t>
            </w:r>
          </w:p>
        </w:tc>
      </w:tr>
      <w:tr w:rsidR="00045560" w:rsidRPr="00F81811" w:rsidTr="00035D30">
        <w:trPr>
          <w:trHeight w:val="390"/>
        </w:trPr>
        <w:tc>
          <w:tcPr>
            <w:tcW w:w="1417" w:type="dxa"/>
            <w:vMerge/>
            <w:tcBorders>
              <w:top w:val="single" w:sz="6" w:space="0" w:color="auto"/>
              <w:bottom w:val="single" w:sz="6" w:space="0" w:color="auto"/>
            </w:tcBorders>
          </w:tcPr>
          <w:p w:rsidR="00045560" w:rsidRPr="00F81811" w:rsidRDefault="00045560" w:rsidP="0032539E">
            <w:pPr>
              <w:pStyle w:val="NoSpacing"/>
              <w:rPr>
                <w:sz w:val="8"/>
                <w:szCs w:val="8"/>
              </w:rPr>
            </w:pPr>
          </w:p>
        </w:tc>
        <w:tc>
          <w:tcPr>
            <w:tcW w:w="171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13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0.9 (Math)</w:t>
            </w:r>
          </w:p>
        </w:tc>
        <w:tc>
          <w:tcPr>
            <w:tcW w:w="13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4.0% below average</w:t>
            </w:r>
          </w:p>
        </w:tc>
        <w:tc>
          <w:tcPr>
            <w:tcW w:w="2250" w:type="dxa"/>
            <w:vMerge w:val="restart"/>
            <w:tcBorders>
              <w:top w:val="single" w:sz="6" w:space="0" w:color="auto"/>
              <w:bottom w:val="single" w:sz="6" w:space="0" w:color="auto"/>
            </w:tcBorders>
            <w:vAlign w:val="center"/>
          </w:tcPr>
          <w:p w:rsidR="00045560" w:rsidRPr="001C4D21" w:rsidRDefault="00045560" w:rsidP="0032539E">
            <w:pPr>
              <w:pStyle w:val="NoSpacing"/>
              <w:rPr>
                <w:sz w:val="20"/>
                <w:szCs w:val="20"/>
              </w:rPr>
            </w:pPr>
            <w:r>
              <w:rPr>
                <w:sz w:val="20"/>
                <w:szCs w:val="20"/>
              </w:rPr>
              <w:t>Reduce gap to 2%</w:t>
            </w:r>
          </w:p>
        </w:tc>
        <w:tc>
          <w:tcPr>
            <w:tcW w:w="1440" w:type="dxa"/>
            <w:vMerge w:val="restart"/>
            <w:tcBorders>
              <w:top w:val="single" w:sz="6" w:space="0" w:color="auto"/>
              <w:bottom w:val="single" w:sz="6" w:space="0" w:color="auto"/>
            </w:tcBorders>
            <w:vAlign w:val="center"/>
          </w:tcPr>
          <w:p w:rsidR="00045560" w:rsidRPr="001C4D21" w:rsidRDefault="00053DF2" w:rsidP="00053DF2">
            <w:pPr>
              <w:pStyle w:val="NoSpacing"/>
              <w:rPr>
                <w:sz w:val="20"/>
                <w:szCs w:val="20"/>
              </w:rPr>
            </w:pPr>
            <w:r>
              <w:rPr>
                <w:sz w:val="20"/>
                <w:szCs w:val="20"/>
              </w:rPr>
              <w:t>10.5% below average</w:t>
            </w:r>
          </w:p>
        </w:tc>
        <w:tc>
          <w:tcPr>
            <w:tcW w:w="351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6" w:space="0" w:color="auto"/>
            </w:tcBorders>
            <w:vAlign w:val="center"/>
          </w:tcPr>
          <w:p w:rsidR="00045560" w:rsidRPr="001C4D21" w:rsidRDefault="00045560" w:rsidP="0032539E">
            <w:pPr>
              <w:pStyle w:val="NoSpacing"/>
              <w:rPr>
                <w:sz w:val="20"/>
                <w:szCs w:val="20"/>
              </w:rPr>
            </w:pPr>
          </w:p>
        </w:tc>
      </w:tr>
      <w:tr w:rsidR="00045560" w:rsidRPr="00F81811" w:rsidTr="00035D30">
        <w:trPr>
          <w:trHeight w:val="977"/>
        </w:trPr>
        <w:tc>
          <w:tcPr>
            <w:tcW w:w="1417" w:type="dxa"/>
            <w:vMerge/>
            <w:tcBorders>
              <w:top w:val="single" w:sz="6" w:space="0" w:color="auto"/>
              <w:bottom w:val="single" w:sz="18" w:space="0" w:color="auto"/>
            </w:tcBorders>
          </w:tcPr>
          <w:p w:rsidR="00045560" w:rsidRPr="00F81811" w:rsidRDefault="00045560" w:rsidP="0032539E">
            <w:pPr>
              <w:pStyle w:val="NoSpacing"/>
              <w:rPr>
                <w:sz w:val="8"/>
                <w:szCs w:val="8"/>
              </w:rPr>
            </w:pPr>
          </w:p>
        </w:tc>
        <w:tc>
          <w:tcPr>
            <w:tcW w:w="1710" w:type="dxa"/>
            <w:vMerge/>
            <w:tcBorders>
              <w:top w:val="single" w:sz="6" w:space="0" w:color="auto"/>
              <w:bottom w:val="single" w:sz="18" w:space="0" w:color="auto"/>
            </w:tcBorders>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18" w:space="0" w:color="auto"/>
            </w:tcBorders>
            <w:vAlign w:val="center"/>
          </w:tcPr>
          <w:p w:rsidR="00045560" w:rsidRPr="001C4D21" w:rsidRDefault="00045560" w:rsidP="0032539E">
            <w:pPr>
              <w:pStyle w:val="NoSpacing"/>
              <w:rPr>
                <w:sz w:val="20"/>
                <w:szCs w:val="20"/>
              </w:rPr>
            </w:pPr>
          </w:p>
        </w:tc>
        <w:tc>
          <w:tcPr>
            <w:tcW w:w="1350" w:type="dxa"/>
            <w:vMerge/>
            <w:tcBorders>
              <w:top w:val="single" w:sz="6" w:space="0" w:color="auto"/>
              <w:bottom w:val="single" w:sz="18" w:space="0" w:color="auto"/>
            </w:tcBorders>
            <w:vAlign w:val="center"/>
          </w:tcPr>
          <w:p w:rsidR="00045560" w:rsidRPr="001C4D21" w:rsidRDefault="00045560" w:rsidP="0032539E">
            <w:pPr>
              <w:pStyle w:val="NoSpacing"/>
              <w:rPr>
                <w:sz w:val="20"/>
                <w:szCs w:val="20"/>
              </w:rPr>
            </w:pPr>
          </w:p>
        </w:tc>
        <w:tc>
          <w:tcPr>
            <w:tcW w:w="2250" w:type="dxa"/>
            <w:vMerge/>
            <w:tcBorders>
              <w:top w:val="single" w:sz="6" w:space="0" w:color="auto"/>
              <w:bottom w:val="single" w:sz="18" w:space="0" w:color="auto"/>
            </w:tcBorders>
            <w:vAlign w:val="center"/>
          </w:tcPr>
          <w:p w:rsidR="00045560" w:rsidRPr="001C4D21" w:rsidRDefault="00045560" w:rsidP="0032539E">
            <w:pPr>
              <w:pStyle w:val="NoSpacing"/>
              <w:rPr>
                <w:sz w:val="20"/>
                <w:szCs w:val="20"/>
              </w:rPr>
            </w:pPr>
          </w:p>
        </w:tc>
        <w:tc>
          <w:tcPr>
            <w:tcW w:w="1440" w:type="dxa"/>
            <w:vMerge/>
            <w:tcBorders>
              <w:top w:val="single" w:sz="6" w:space="0" w:color="auto"/>
              <w:bottom w:val="single" w:sz="18" w:space="0" w:color="auto"/>
            </w:tcBorders>
          </w:tcPr>
          <w:p w:rsidR="00045560" w:rsidRDefault="00045560" w:rsidP="0032539E">
            <w:pPr>
              <w:pStyle w:val="NoSpacing"/>
              <w:rPr>
                <w:sz w:val="20"/>
                <w:szCs w:val="20"/>
              </w:rPr>
            </w:pPr>
          </w:p>
        </w:tc>
        <w:tc>
          <w:tcPr>
            <w:tcW w:w="3510" w:type="dxa"/>
            <w:tcBorders>
              <w:top w:val="single" w:sz="6" w:space="0" w:color="auto"/>
              <w:bottom w:val="single" w:sz="18" w:space="0" w:color="auto"/>
            </w:tcBorders>
            <w:vAlign w:val="center"/>
          </w:tcPr>
          <w:p w:rsidR="00045560" w:rsidRPr="001C4D21" w:rsidRDefault="00045560" w:rsidP="0032539E">
            <w:pPr>
              <w:pStyle w:val="NoSpacing"/>
              <w:rPr>
                <w:sz w:val="20"/>
                <w:szCs w:val="20"/>
              </w:rPr>
            </w:pPr>
            <w:r>
              <w:rPr>
                <w:sz w:val="20"/>
                <w:szCs w:val="20"/>
              </w:rPr>
              <w:t>Expand academic and support services for students outside of traditional office settings and hours during critical times in the semester.</w:t>
            </w:r>
            <w:r w:rsidR="006A74C0">
              <w:rPr>
                <w:sz w:val="20"/>
                <w:szCs w:val="20"/>
              </w:rPr>
              <w:t>*</w:t>
            </w:r>
          </w:p>
        </w:tc>
        <w:tc>
          <w:tcPr>
            <w:tcW w:w="1350" w:type="dxa"/>
            <w:tcBorders>
              <w:top w:val="single" w:sz="6" w:space="0" w:color="auto"/>
              <w:bottom w:val="single" w:sz="18" w:space="0" w:color="auto"/>
            </w:tcBorders>
            <w:vAlign w:val="center"/>
          </w:tcPr>
          <w:p w:rsidR="00045560" w:rsidRPr="001C4D21" w:rsidRDefault="00045560" w:rsidP="0032539E">
            <w:pPr>
              <w:pStyle w:val="NoSpacing"/>
              <w:rPr>
                <w:sz w:val="20"/>
                <w:szCs w:val="20"/>
              </w:rPr>
            </w:pPr>
            <w:r>
              <w:rPr>
                <w:sz w:val="20"/>
                <w:szCs w:val="20"/>
              </w:rPr>
              <w:t>$38.412</w:t>
            </w:r>
          </w:p>
        </w:tc>
      </w:tr>
    </w:tbl>
    <w:p w:rsidR="00885A75" w:rsidRPr="00F81811" w:rsidRDefault="00885A75" w:rsidP="00C34B50">
      <w:pPr>
        <w:pStyle w:val="NoSpacing"/>
        <w:rPr>
          <w:sz w:val="8"/>
          <w:szCs w:val="8"/>
        </w:rPr>
      </w:pPr>
    </w:p>
    <w:p w:rsidR="00885A75" w:rsidRDefault="00885A75" w:rsidP="00C34B50">
      <w:pPr>
        <w:pStyle w:val="NoSpacing"/>
      </w:pPr>
    </w:p>
    <w:p w:rsidR="00127109" w:rsidRDefault="00127109" w:rsidP="00C34B50">
      <w:pPr>
        <w:pStyle w:val="NoSpacing"/>
      </w:pPr>
    </w:p>
    <w:tbl>
      <w:tblPr>
        <w:tblStyle w:val="TableGrid"/>
        <w:tblW w:w="143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17"/>
        <w:gridCol w:w="1710"/>
        <w:gridCol w:w="1350"/>
        <w:gridCol w:w="1350"/>
        <w:gridCol w:w="2250"/>
        <w:gridCol w:w="1440"/>
        <w:gridCol w:w="3510"/>
        <w:gridCol w:w="1350"/>
      </w:tblGrid>
      <w:tr w:rsidR="00053DF2" w:rsidRPr="008F3225" w:rsidTr="00D81439">
        <w:tc>
          <w:tcPr>
            <w:tcW w:w="1417"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lastRenderedPageBreak/>
              <w:t>Success Indicator</w:t>
            </w:r>
          </w:p>
        </w:tc>
        <w:tc>
          <w:tcPr>
            <w:tcW w:w="171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Target Groups</w:t>
            </w:r>
          </w:p>
        </w:tc>
        <w:tc>
          <w:tcPr>
            <w:tcW w:w="135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Equity Index</w:t>
            </w:r>
          </w:p>
        </w:tc>
        <w:tc>
          <w:tcPr>
            <w:tcW w:w="135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Percentage Point Gap</w:t>
            </w:r>
          </w:p>
        </w:tc>
        <w:tc>
          <w:tcPr>
            <w:tcW w:w="225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Goal</w:t>
            </w:r>
          </w:p>
        </w:tc>
        <w:tc>
          <w:tcPr>
            <w:tcW w:w="144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Goal Progress as of fall 2017</w:t>
            </w:r>
          </w:p>
        </w:tc>
        <w:tc>
          <w:tcPr>
            <w:tcW w:w="351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Activities</w:t>
            </w:r>
          </w:p>
        </w:tc>
        <w:tc>
          <w:tcPr>
            <w:tcW w:w="1350" w:type="dxa"/>
            <w:tcBorders>
              <w:top w:val="single" w:sz="18" w:space="0" w:color="auto"/>
              <w:bottom w:val="single" w:sz="12" w:space="0" w:color="auto"/>
            </w:tcBorders>
            <w:shd w:val="clear" w:color="auto" w:fill="9CC2E5" w:themeFill="accent1" w:themeFillTint="99"/>
            <w:vAlign w:val="center"/>
          </w:tcPr>
          <w:p w:rsidR="00053DF2" w:rsidRPr="008F3225" w:rsidRDefault="00053DF2" w:rsidP="00053DF2">
            <w:pPr>
              <w:pStyle w:val="NoSpacing"/>
              <w:jc w:val="center"/>
              <w:rPr>
                <w:b/>
                <w:sz w:val="24"/>
                <w:szCs w:val="24"/>
              </w:rPr>
            </w:pPr>
            <w:r w:rsidRPr="008F3225">
              <w:rPr>
                <w:b/>
                <w:sz w:val="24"/>
                <w:szCs w:val="24"/>
              </w:rPr>
              <w:t>SE Resources Budgeted</w:t>
            </w:r>
          </w:p>
        </w:tc>
      </w:tr>
      <w:tr w:rsidR="00161491" w:rsidRPr="00CB417F" w:rsidTr="00D81439">
        <w:trPr>
          <w:trHeight w:val="1277"/>
        </w:trPr>
        <w:tc>
          <w:tcPr>
            <w:tcW w:w="1417" w:type="dxa"/>
            <w:vMerge w:val="restart"/>
            <w:tcBorders>
              <w:top w:val="single" w:sz="12" w:space="0" w:color="auto"/>
              <w:bottom w:val="single" w:sz="6" w:space="0" w:color="auto"/>
            </w:tcBorders>
            <w:textDirection w:val="btLr"/>
            <w:vAlign w:val="center"/>
          </w:tcPr>
          <w:p w:rsidR="00161491" w:rsidRPr="00762868" w:rsidRDefault="00161491" w:rsidP="00161491">
            <w:pPr>
              <w:pStyle w:val="NoSpacing"/>
              <w:ind w:left="113" w:right="113"/>
              <w:jc w:val="center"/>
              <w:rPr>
                <w:b/>
                <w:sz w:val="32"/>
                <w:szCs w:val="32"/>
              </w:rPr>
            </w:pPr>
            <w:r>
              <w:rPr>
                <w:b/>
                <w:sz w:val="32"/>
                <w:szCs w:val="32"/>
              </w:rPr>
              <w:t>DEGREE &amp; CERTIFICATE COMPLETION</w:t>
            </w:r>
          </w:p>
          <w:p w:rsidR="00161491" w:rsidRPr="000C42B4" w:rsidRDefault="00161491" w:rsidP="00161491">
            <w:pPr>
              <w:pStyle w:val="NoSpacing"/>
              <w:ind w:left="113" w:right="113"/>
              <w:jc w:val="center"/>
              <w:rPr>
                <w:sz w:val="20"/>
                <w:szCs w:val="20"/>
              </w:rPr>
            </w:pPr>
            <w:r w:rsidRPr="005400BF">
              <w:rPr>
                <w:sz w:val="17"/>
                <w:szCs w:val="17"/>
              </w:rPr>
              <w:t>The goal is to improve degree and certificate completion for target populations</w:t>
            </w:r>
          </w:p>
        </w:tc>
        <w:tc>
          <w:tcPr>
            <w:tcW w:w="1710" w:type="dxa"/>
            <w:vMerge w:val="restart"/>
            <w:tcBorders>
              <w:top w:val="single" w:sz="12" w:space="0" w:color="auto"/>
              <w:bottom w:val="single" w:sz="6" w:space="0" w:color="auto"/>
            </w:tcBorders>
            <w:vAlign w:val="center"/>
          </w:tcPr>
          <w:p w:rsidR="00161491" w:rsidRPr="00161491" w:rsidRDefault="00161491" w:rsidP="00161491">
            <w:pPr>
              <w:pStyle w:val="NoSpacing"/>
              <w:rPr>
                <w:sz w:val="20"/>
                <w:szCs w:val="20"/>
              </w:rPr>
            </w:pPr>
            <w:r w:rsidRPr="00161491">
              <w:rPr>
                <w:sz w:val="20"/>
                <w:szCs w:val="20"/>
              </w:rPr>
              <w:t>Males</w:t>
            </w:r>
          </w:p>
        </w:tc>
        <w:tc>
          <w:tcPr>
            <w:tcW w:w="1350" w:type="dxa"/>
            <w:vMerge w:val="restart"/>
            <w:tcBorders>
              <w:top w:val="single" w:sz="12" w:space="0" w:color="auto"/>
              <w:bottom w:val="single" w:sz="6" w:space="0" w:color="auto"/>
            </w:tcBorders>
            <w:vAlign w:val="center"/>
          </w:tcPr>
          <w:p w:rsidR="00161491" w:rsidRPr="00161491" w:rsidRDefault="00161491" w:rsidP="00161491">
            <w:pPr>
              <w:pStyle w:val="NoSpacing"/>
              <w:rPr>
                <w:sz w:val="20"/>
                <w:szCs w:val="20"/>
              </w:rPr>
            </w:pPr>
            <w:r w:rsidRPr="00161491">
              <w:rPr>
                <w:sz w:val="20"/>
                <w:szCs w:val="20"/>
              </w:rPr>
              <w:t>0.9</w:t>
            </w:r>
          </w:p>
        </w:tc>
        <w:tc>
          <w:tcPr>
            <w:tcW w:w="1350" w:type="dxa"/>
            <w:vMerge w:val="restart"/>
            <w:tcBorders>
              <w:top w:val="single" w:sz="12" w:space="0" w:color="auto"/>
              <w:bottom w:val="single" w:sz="6" w:space="0" w:color="auto"/>
            </w:tcBorders>
            <w:vAlign w:val="center"/>
          </w:tcPr>
          <w:p w:rsidR="00161491" w:rsidRPr="00161491" w:rsidRDefault="00161491" w:rsidP="00161491">
            <w:pPr>
              <w:pStyle w:val="NoSpacing"/>
              <w:rPr>
                <w:sz w:val="20"/>
                <w:szCs w:val="20"/>
              </w:rPr>
            </w:pPr>
            <w:r w:rsidRPr="00161491">
              <w:rPr>
                <w:sz w:val="20"/>
                <w:szCs w:val="20"/>
              </w:rPr>
              <w:t>2.5% below average</w:t>
            </w:r>
          </w:p>
        </w:tc>
        <w:tc>
          <w:tcPr>
            <w:tcW w:w="2250" w:type="dxa"/>
            <w:vMerge w:val="restart"/>
            <w:tcBorders>
              <w:top w:val="single" w:sz="12" w:space="0" w:color="auto"/>
              <w:bottom w:val="single" w:sz="6" w:space="0" w:color="auto"/>
            </w:tcBorders>
            <w:vAlign w:val="center"/>
          </w:tcPr>
          <w:p w:rsidR="00161491" w:rsidRPr="00161491" w:rsidRDefault="00161491" w:rsidP="00161491">
            <w:pPr>
              <w:pStyle w:val="NoSpacing"/>
              <w:rPr>
                <w:sz w:val="20"/>
                <w:szCs w:val="20"/>
              </w:rPr>
            </w:pPr>
            <w:r w:rsidRPr="00161491">
              <w:rPr>
                <w:sz w:val="20"/>
                <w:szCs w:val="20"/>
              </w:rPr>
              <w:t>Reduce gap to 1.25%</w:t>
            </w:r>
          </w:p>
        </w:tc>
        <w:tc>
          <w:tcPr>
            <w:tcW w:w="1440" w:type="dxa"/>
            <w:vMerge w:val="restart"/>
            <w:tcBorders>
              <w:top w:val="single" w:sz="12" w:space="0" w:color="auto"/>
              <w:bottom w:val="single" w:sz="6" w:space="0" w:color="auto"/>
            </w:tcBorders>
            <w:shd w:val="clear" w:color="auto" w:fill="auto"/>
            <w:vAlign w:val="center"/>
          </w:tcPr>
          <w:p w:rsidR="00161491" w:rsidRPr="00161491" w:rsidRDefault="00161491" w:rsidP="00161491">
            <w:pPr>
              <w:pStyle w:val="NoSpacing"/>
              <w:rPr>
                <w:sz w:val="20"/>
                <w:szCs w:val="20"/>
              </w:rPr>
            </w:pPr>
            <w:r w:rsidRPr="00161491">
              <w:rPr>
                <w:sz w:val="20"/>
                <w:szCs w:val="20"/>
              </w:rPr>
              <w:t>3.9% below average</w:t>
            </w:r>
          </w:p>
        </w:tc>
        <w:tc>
          <w:tcPr>
            <w:tcW w:w="3510" w:type="dxa"/>
            <w:tcBorders>
              <w:top w:val="single" w:sz="12" w:space="0" w:color="auto"/>
              <w:bottom w:val="single" w:sz="6" w:space="0" w:color="auto"/>
            </w:tcBorders>
            <w:shd w:val="clear" w:color="auto" w:fill="auto"/>
            <w:vAlign w:val="center"/>
          </w:tcPr>
          <w:p w:rsidR="00161491" w:rsidRPr="00CB417F" w:rsidRDefault="00161491" w:rsidP="00161491">
            <w:pPr>
              <w:pStyle w:val="NoSpacing"/>
              <w:rPr>
                <w:sz w:val="16"/>
                <w:szCs w:val="16"/>
              </w:rPr>
            </w:pPr>
            <w:r w:rsidRPr="003341AB">
              <w:rPr>
                <w:sz w:val="20"/>
                <w:szCs w:val="20"/>
              </w:rPr>
              <w:t>Create a professional development conference to learn about, evaluate, and adopt effective practices when it comes to add</w:t>
            </w:r>
            <w:r w:rsidR="006A74C0">
              <w:rPr>
                <w:sz w:val="20"/>
                <w:szCs w:val="20"/>
              </w:rPr>
              <w:t>ressing degree and certificate completion</w:t>
            </w:r>
            <w:r w:rsidRPr="003341AB">
              <w:rPr>
                <w:sz w:val="20"/>
                <w:szCs w:val="20"/>
              </w:rPr>
              <w:t xml:space="preserve"> by male students</w:t>
            </w:r>
            <w:r w:rsidR="006A74C0">
              <w:rPr>
                <w:sz w:val="20"/>
                <w:szCs w:val="20"/>
              </w:rPr>
              <w:t>.</w:t>
            </w:r>
          </w:p>
        </w:tc>
        <w:tc>
          <w:tcPr>
            <w:tcW w:w="1350" w:type="dxa"/>
            <w:tcBorders>
              <w:top w:val="single" w:sz="12" w:space="0" w:color="auto"/>
              <w:bottom w:val="single" w:sz="6" w:space="0" w:color="auto"/>
            </w:tcBorders>
            <w:vAlign w:val="center"/>
          </w:tcPr>
          <w:p w:rsidR="00161491" w:rsidRPr="005400BF" w:rsidRDefault="00161491" w:rsidP="00161491">
            <w:pPr>
              <w:pStyle w:val="NoSpacing"/>
              <w:rPr>
                <w:sz w:val="20"/>
                <w:szCs w:val="20"/>
              </w:rPr>
            </w:pPr>
            <w:r>
              <w:rPr>
                <w:sz w:val="20"/>
                <w:szCs w:val="20"/>
              </w:rPr>
              <w:t>$50,912</w:t>
            </w:r>
          </w:p>
        </w:tc>
      </w:tr>
      <w:tr w:rsidR="00161491" w:rsidRPr="00CB417F" w:rsidTr="00D81439">
        <w:trPr>
          <w:trHeight w:val="1277"/>
        </w:trPr>
        <w:tc>
          <w:tcPr>
            <w:tcW w:w="1417" w:type="dxa"/>
            <w:vMerge/>
            <w:tcBorders>
              <w:top w:val="single" w:sz="6" w:space="0" w:color="auto"/>
              <w:bottom w:val="single" w:sz="6" w:space="0" w:color="auto"/>
            </w:tcBorders>
          </w:tcPr>
          <w:p w:rsidR="00161491" w:rsidRPr="000C42B4" w:rsidRDefault="00161491" w:rsidP="00161491">
            <w:pPr>
              <w:pStyle w:val="NoSpacing"/>
              <w:rPr>
                <w:sz w:val="20"/>
                <w:szCs w:val="20"/>
              </w:rPr>
            </w:pPr>
          </w:p>
        </w:tc>
        <w:tc>
          <w:tcPr>
            <w:tcW w:w="1710" w:type="dxa"/>
            <w:vMerge/>
            <w:tcBorders>
              <w:top w:val="single" w:sz="6" w:space="0" w:color="auto"/>
              <w:bottom w:val="single" w:sz="6" w:space="0" w:color="auto"/>
            </w:tcBorders>
            <w:vAlign w:val="center"/>
          </w:tcPr>
          <w:p w:rsidR="00161491" w:rsidRPr="00161491" w:rsidRDefault="00161491" w:rsidP="00161491">
            <w:pPr>
              <w:pStyle w:val="NoSpacing"/>
              <w:rPr>
                <w:sz w:val="20"/>
                <w:szCs w:val="20"/>
              </w:rPr>
            </w:pPr>
          </w:p>
        </w:tc>
        <w:tc>
          <w:tcPr>
            <w:tcW w:w="1350" w:type="dxa"/>
            <w:vMerge/>
            <w:tcBorders>
              <w:top w:val="single" w:sz="6" w:space="0" w:color="auto"/>
              <w:bottom w:val="single" w:sz="6" w:space="0" w:color="auto"/>
            </w:tcBorders>
            <w:vAlign w:val="center"/>
          </w:tcPr>
          <w:p w:rsidR="00161491" w:rsidRPr="00161491" w:rsidRDefault="00161491" w:rsidP="00161491">
            <w:pPr>
              <w:pStyle w:val="NoSpacing"/>
              <w:rPr>
                <w:sz w:val="20"/>
                <w:szCs w:val="20"/>
              </w:rPr>
            </w:pPr>
          </w:p>
        </w:tc>
        <w:tc>
          <w:tcPr>
            <w:tcW w:w="1350" w:type="dxa"/>
            <w:vMerge/>
            <w:tcBorders>
              <w:top w:val="single" w:sz="6" w:space="0" w:color="auto"/>
              <w:bottom w:val="single" w:sz="6" w:space="0" w:color="auto"/>
            </w:tcBorders>
            <w:vAlign w:val="center"/>
          </w:tcPr>
          <w:p w:rsidR="00161491" w:rsidRPr="00161491" w:rsidRDefault="00161491" w:rsidP="00161491">
            <w:pPr>
              <w:pStyle w:val="NoSpacing"/>
              <w:rPr>
                <w:sz w:val="20"/>
                <w:szCs w:val="20"/>
              </w:rPr>
            </w:pPr>
          </w:p>
        </w:tc>
        <w:tc>
          <w:tcPr>
            <w:tcW w:w="2250" w:type="dxa"/>
            <w:vMerge/>
            <w:tcBorders>
              <w:top w:val="single" w:sz="6" w:space="0" w:color="auto"/>
              <w:bottom w:val="single" w:sz="6" w:space="0" w:color="auto"/>
            </w:tcBorders>
            <w:vAlign w:val="center"/>
          </w:tcPr>
          <w:p w:rsidR="00161491" w:rsidRPr="00161491" w:rsidRDefault="00161491" w:rsidP="00161491">
            <w:pPr>
              <w:pStyle w:val="NoSpacing"/>
              <w:rPr>
                <w:sz w:val="20"/>
                <w:szCs w:val="20"/>
              </w:rPr>
            </w:pPr>
          </w:p>
        </w:tc>
        <w:tc>
          <w:tcPr>
            <w:tcW w:w="1440" w:type="dxa"/>
            <w:vMerge/>
            <w:tcBorders>
              <w:top w:val="single" w:sz="6" w:space="0" w:color="auto"/>
              <w:bottom w:val="single" w:sz="6" w:space="0" w:color="auto"/>
            </w:tcBorders>
            <w:shd w:val="clear" w:color="auto" w:fill="auto"/>
          </w:tcPr>
          <w:p w:rsidR="00161491" w:rsidRPr="00161491" w:rsidRDefault="00161491" w:rsidP="00161491">
            <w:pPr>
              <w:pStyle w:val="NoSpacing"/>
              <w:rPr>
                <w:sz w:val="20"/>
                <w:szCs w:val="20"/>
              </w:rPr>
            </w:pPr>
          </w:p>
        </w:tc>
        <w:tc>
          <w:tcPr>
            <w:tcW w:w="3510" w:type="dxa"/>
            <w:tcBorders>
              <w:top w:val="single" w:sz="6" w:space="0" w:color="auto"/>
              <w:bottom w:val="single" w:sz="6" w:space="0" w:color="auto"/>
            </w:tcBorders>
            <w:shd w:val="clear" w:color="auto" w:fill="auto"/>
            <w:vAlign w:val="center"/>
          </w:tcPr>
          <w:p w:rsidR="00161491" w:rsidRPr="00CB417F" w:rsidRDefault="00161491" w:rsidP="00161491">
            <w:pPr>
              <w:pStyle w:val="NoSpacing"/>
              <w:rPr>
                <w:sz w:val="16"/>
                <w:szCs w:val="16"/>
              </w:rPr>
            </w:pPr>
            <w:r w:rsidRPr="003341AB">
              <w:rPr>
                <w:sz w:val="20"/>
                <w:szCs w:val="20"/>
              </w:rPr>
              <w:t>Develop a research agenda and conduct relevant qualitative and quantitative research to further assess</w:t>
            </w:r>
            <w:r>
              <w:rPr>
                <w:sz w:val="20"/>
                <w:szCs w:val="20"/>
              </w:rPr>
              <w:t xml:space="preserve"> gaps in equity for men</w:t>
            </w:r>
            <w:r w:rsidR="006A74C0">
              <w:rPr>
                <w:sz w:val="20"/>
                <w:szCs w:val="20"/>
              </w:rPr>
              <w:t>.*</w:t>
            </w:r>
          </w:p>
        </w:tc>
        <w:tc>
          <w:tcPr>
            <w:tcW w:w="1350" w:type="dxa"/>
            <w:tcBorders>
              <w:top w:val="single" w:sz="6" w:space="0" w:color="auto"/>
              <w:bottom w:val="single" w:sz="6" w:space="0" w:color="auto"/>
            </w:tcBorders>
            <w:vAlign w:val="center"/>
          </w:tcPr>
          <w:p w:rsidR="00161491" w:rsidRPr="00D81439" w:rsidRDefault="00161491" w:rsidP="00161491">
            <w:pPr>
              <w:pStyle w:val="NoSpacing"/>
              <w:rPr>
                <w:sz w:val="20"/>
                <w:szCs w:val="20"/>
              </w:rPr>
            </w:pPr>
            <w:r w:rsidRPr="00D81439">
              <w:rPr>
                <w:sz w:val="20"/>
                <w:szCs w:val="20"/>
              </w:rPr>
              <w:t>$55,912</w:t>
            </w:r>
          </w:p>
        </w:tc>
      </w:tr>
      <w:tr w:rsidR="00161491" w:rsidRPr="00CB417F" w:rsidTr="00D81439">
        <w:trPr>
          <w:trHeight w:val="1277"/>
        </w:trPr>
        <w:tc>
          <w:tcPr>
            <w:tcW w:w="1417" w:type="dxa"/>
            <w:vMerge/>
            <w:tcBorders>
              <w:top w:val="single" w:sz="6" w:space="0" w:color="auto"/>
              <w:bottom w:val="single" w:sz="12" w:space="0" w:color="auto"/>
            </w:tcBorders>
          </w:tcPr>
          <w:p w:rsidR="00161491" w:rsidRPr="000C42B4" w:rsidRDefault="00161491" w:rsidP="00161491">
            <w:pPr>
              <w:pStyle w:val="NoSpacing"/>
              <w:rPr>
                <w:sz w:val="20"/>
                <w:szCs w:val="20"/>
              </w:rPr>
            </w:pPr>
          </w:p>
        </w:tc>
        <w:tc>
          <w:tcPr>
            <w:tcW w:w="1710" w:type="dxa"/>
            <w:tcBorders>
              <w:top w:val="single" w:sz="6" w:space="0" w:color="auto"/>
              <w:bottom w:val="single" w:sz="12" w:space="0" w:color="auto"/>
            </w:tcBorders>
            <w:shd w:val="clear" w:color="auto" w:fill="DEEAF6" w:themeFill="accent1" w:themeFillTint="33"/>
            <w:vAlign w:val="center"/>
          </w:tcPr>
          <w:p w:rsidR="00161491" w:rsidRPr="00161491" w:rsidRDefault="00161491" w:rsidP="00161491">
            <w:pPr>
              <w:pStyle w:val="NoSpacing"/>
              <w:rPr>
                <w:sz w:val="20"/>
                <w:szCs w:val="20"/>
              </w:rPr>
            </w:pPr>
            <w:r w:rsidRPr="00161491">
              <w:rPr>
                <w:sz w:val="20"/>
                <w:szCs w:val="20"/>
              </w:rPr>
              <w:t>Alaskan Native / Native American</w:t>
            </w:r>
          </w:p>
        </w:tc>
        <w:tc>
          <w:tcPr>
            <w:tcW w:w="1350" w:type="dxa"/>
            <w:tcBorders>
              <w:top w:val="single" w:sz="6" w:space="0" w:color="auto"/>
              <w:bottom w:val="single" w:sz="12" w:space="0" w:color="auto"/>
            </w:tcBorders>
            <w:shd w:val="clear" w:color="auto" w:fill="DEEAF6" w:themeFill="accent1" w:themeFillTint="33"/>
            <w:vAlign w:val="center"/>
          </w:tcPr>
          <w:p w:rsidR="00161491" w:rsidRPr="00161491" w:rsidRDefault="00161491" w:rsidP="00161491">
            <w:pPr>
              <w:pStyle w:val="NoSpacing"/>
              <w:rPr>
                <w:sz w:val="20"/>
                <w:szCs w:val="20"/>
              </w:rPr>
            </w:pPr>
            <w:r w:rsidRPr="00161491">
              <w:rPr>
                <w:sz w:val="20"/>
                <w:szCs w:val="20"/>
              </w:rPr>
              <w:t>0.3</w:t>
            </w:r>
          </w:p>
        </w:tc>
        <w:tc>
          <w:tcPr>
            <w:tcW w:w="1350" w:type="dxa"/>
            <w:tcBorders>
              <w:top w:val="single" w:sz="6" w:space="0" w:color="auto"/>
              <w:bottom w:val="single" w:sz="12" w:space="0" w:color="auto"/>
            </w:tcBorders>
            <w:shd w:val="clear" w:color="auto" w:fill="DEEAF6" w:themeFill="accent1" w:themeFillTint="33"/>
            <w:vAlign w:val="center"/>
          </w:tcPr>
          <w:p w:rsidR="00161491" w:rsidRPr="00161491" w:rsidRDefault="00161491" w:rsidP="00161491">
            <w:pPr>
              <w:pStyle w:val="NoSpacing"/>
              <w:rPr>
                <w:sz w:val="20"/>
                <w:szCs w:val="20"/>
              </w:rPr>
            </w:pPr>
            <w:r w:rsidRPr="00161491">
              <w:rPr>
                <w:sz w:val="20"/>
                <w:szCs w:val="20"/>
              </w:rPr>
              <w:t>16.6% below average</w:t>
            </w:r>
          </w:p>
        </w:tc>
        <w:tc>
          <w:tcPr>
            <w:tcW w:w="2250" w:type="dxa"/>
            <w:tcBorders>
              <w:top w:val="single" w:sz="6" w:space="0" w:color="auto"/>
              <w:bottom w:val="single" w:sz="12" w:space="0" w:color="auto"/>
            </w:tcBorders>
            <w:shd w:val="clear" w:color="auto" w:fill="DEEAF6" w:themeFill="accent1" w:themeFillTint="33"/>
            <w:vAlign w:val="center"/>
          </w:tcPr>
          <w:p w:rsidR="00161491" w:rsidRPr="00161491" w:rsidRDefault="00161491" w:rsidP="00161491">
            <w:pPr>
              <w:pStyle w:val="NoSpacing"/>
              <w:rPr>
                <w:sz w:val="20"/>
                <w:szCs w:val="20"/>
              </w:rPr>
            </w:pPr>
            <w:r w:rsidRPr="00161491">
              <w:rPr>
                <w:sz w:val="20"/>
                <w:szCs w:val="20"/>
              </w:rPr>
              <w:t>Reduce gap to 8%</w:t>
            </w:r>
          </w:p>
        </w:tc>
        <w:tc>
          <w:tcPr>
            <w:tcW w:w="1440" w:type="dxa"/>
            <w:tcBorders>
              <w:top w:val="single" w:sz="6" w:space="0" w:color="auto"/>
              <w:bottom w:val="single" w:sz="12" w:space="0" w:color="auto"/>
            </w:tcBorders>
            <w:shd w:val="clear" w:color="auto" w:fill="DEEAF6" w:themeFill="accent1" w:themeFillTint="33"/>
            <w:vAlign w:val="center"/>
          </w:tcPr>
          <w:p w:rsidR="00161491" w:rsidRPr="00161491" w:rsidRDefault="00161491" w:rsidP="00161491">
            <w:pPr>
              <w:pStyle w:val="NoSpacing"/>
              <w:rPr>
                <w:sz w:val="20"/>
                <w:szCs w:val="20"/>
              </w:rPr>
            </w:pPr>
            <w:r>
              <w:rPr>
                <w:sz w:val="20"/>
                <w:szCs w:val="20"/>
              </w:rPr>
              <w:t>2.8% below average</w:t>
            </w:r>
          </w:p>
        </w:tc>
        <w:tc>
          <w:tcPr>
            <w:tcW w:w="3510" w:type="dxa"/>
            <w:tcBorders>
              <w:top w:val="single" w:sz="6" w:space="0" w:color="auto"/>
              <w:bottom w:val="single" w:sz="12" w:space="0" w:color="auto"/>
            </w:tcBorders>
            <w:shd w:val="clear" w:color="auto" w:fill="DEEAF6" w:themeFill="accent1" w:themeFillTint="33"/>
            <w:vAlign w:val="center"/>
          </w:tcPr>
          <w:p w:rsidR="00161491" w:rsidRPr="00CB417F" w:rsidRDefault="00161491" w:rsidP="00161491">
            <w:pPr>
              <w:pStyle w:val="NoSpacing"/>
              <w:rPr>
                <w:sz w:val="16"/>
                <w:szCs w:val="16"/>
              </w:rPr>
            </w:pPr>
            <w:r w:rsidRPr="003341AB">
              <w:rPr>
                <w:sz w:val="20"/>
                <w:szCs w:val="20"/>
              </w:rPr>
              <w:t>De</w:t>
            </w:r>
            <w:r>
              <w:rPr>
                <w:sz w:val="20"/>
                <w:szCs w:val="20"/>
              </w:rPr>
              <w:t>velop a cultural club for Alaskan Native / Native American students that is connected to counseling / advising</w:t>
            </w:r>
            <w:r w:rsidR="006A74C0">
              <w:rPr>
                <w:sz w:val="20"/>
                <w:szCs w:val="20"/>
              </w:rPr>
              <w:t>*</w:t>
            </w:r>
          </w:p>
        </w:tc>
        <w:tc>
          <w:tcPr>
            <w:tcW w:w="1350" w:type="dxa"/>
            <w:tcBorders>
              <w:top w:val="single" w:sz="6" w:space="0" w:color="auto"/>
              <w:bottom w:val="single" w:sz="12" w:space="0" w:color="auto"/>
            </w:tcBorders>
            <w:shd w:val="clear" w:color="auto" w:fill="DEEAF6" w:themeFill="accent1" w:themeFillTint="33"/>
            <w:vAlign w:val="center"/>
          </w:tcPr>
          <w:p w:rsidR="00161491" w:rsidRPr="00D81439" w:rsidRDefault="00D81439" w:rsidP="00161491">
            <w:pPr>
              <w:pStyle w:val="NoSpacing"/>
              <w:rPr>
                <w:sz w:val="20"/>
                <w:szCs w:val="20"/>
              </w:rPr>
            </w:pPr>
            <w:r w:rsidRPr="00D81439">
              <w:rPr>
                <w:sz w:val="20"/>
                <w:szCs w:val="20"/>
              </w:rPr>
              <w:t>$17,912</w:t>
            </w:r>
          </w:p>
        </w:tc>
      </w:tr>
      <w:tr w:rsidR="00053DF2" w:rsidTr="00D81439">
        <w:trPr>
          <w:trHeight w:val="732"/>
        </w:trPr>
        <w:tc>
          <w:tcPr>
            <w:tcW w:w="1417" w:type="dxa"/>
            <w:vMerge w:val="restart"/>
            <w:tcBorders>
              <w:top w:val="single" w:sz="12" w:space="0" w:color="auto"/>
            </w:tcBorders>
            <w:textDirection w:val="btLr"/>
            <w:vAlign w:val="center"/>
          </w:tcPr>
          <w:p w:rsidR="00053DF2" w:rsidRPr="00762868" w:rsidRDefault="00053DF2" w:rsidP="00053DF2">
            <w:pPr>
              <w:pStyle w:val="NoSpacing"/>
              <w:ind w:left="113" w:right="113"/>
              <w:jc w:val="center"/>
              <w:rPr>
                <w:b/>
                <w:sz w:val="32"/>
                <w:szCs w:val="32"/>
              </w:rPr>
            </w:pPr>
            <w:r>
              <w:rPr>
                <w:b/>
                <w:sz w:val="32"/>
                <w:szCs w:val="32"/>
              </w:rPr>
              <w:t>TRANSFER</w:t>
            </w:r>
          </w:p>
          <w:p w:rsidR="00053DF2" w:rsidRPr="000C42B4" w:rsidRDefault="00053DF2" w:rsidP="00053DF2">
            <w:pPr>
              <w:pStyle w:val="NoSpacing"/>
              <w:ind w:left="113" w:right="113"/>
              <w:jc w:val="center"/>
              <w:rPr>
                <w:sz w:val="20"/>
                <w:szCs w:val="20"/>
              </w:rPr>
            </w:pPr>
            <w:r>
              <w:rPr>
                <w:sz w:val="17"/>
                <w:szCs w:val="17"/>
              </w:rPr>
              <w:t>The goal is to improve transfer for target populations</w:t>
            </w:r>
          </w:p>
        </w:tc>
        <w:tc>
          <w:tcPr>
            <w:tcW w:w="1710" w:type="dxa"/>
            <w:tcBorders>
              <w:top w:val="single" w:sz="12" w:space="0" w:color="auto"/>
            </w:tcBorders>
            <w:vAlign w:val="center"/>
          </w:tcPr>
          <w:p w:rsidR="00053DF2" w:rsidRPr="00161491" w:rsidRDefault="00053DF2" w:rsidP="00053DF2">
            <w:pPr>
              <w:pStyle w:val="NoSpacing"/>
              <w:rPr>
                <w:sz w:val="20"/>
                <w:szCs w:val="20"/>
              </w:rPr>
            </w:pPr>
            <w:r w:rsidRPr="00161491">
              <w:rPr>
                <w:sz w:val="20"/>
                <w:szCs w:val="20"/>
              </w:rPr>
              <w:t>Hispanic / Latino</w:t>
            </w:r>
          </w:p>
        </w:tc>
        <w:tc>
          <w:tcPr>
            <w:tcW w:w="1350" w:type="dxa"/>
            <w:tcBorders>
              <w:top w:val="single" w:sz="12" w:space="0" w:color="auto"/>
            </w:tcBorders>
            <w:vAlign w:val="center"/>
          </w:tcPr>
          <w:p w:rsidR="00053DF2" w:rsidRPr="00161491" w:rsidRDefault="00053DF2" w:rsidP="00053DF2">
            <w:pPr>
              <w:pStyle w:val="NoSpacing"/>
              <w:rPr>
                <w:sz w:val="20"/>
                <w:szCs w:val="20"/>
              </w:rPr>
            </w:pPr>
            <w:r w:rsidRPr="00161491">
              <w:rPr>
                <w:sz w:val="20"/>
                <w:szCs w:val="20"/>
              </w:rPr>
              <w:t>0.9</w:t>
            </w:r>
          </w:p>
        </w:tc>
        <w:tc>
          <w:tcPr>
            <w:tcW w:w="1350" w:type="dxa"/>
            <w:tcBorders>
              <w:top w:val="single" w:sz="12" w:space="0" w:color="auto"/>
            </w:tcBorders>
            <w:vAlign w:val="center"/>
          </w:tcPr>
          <w:p w:rsidR="00053DF2" w:rsidRPr="00161491" w:rsidRDefault="00053DF2" w:rsidP="00053DF2">
            <w:pPr>
              <w:pStyle w:val="NoSpacing"/>
              <w:rPr>
                <w:sz w:val="20"/>
                <w:szCs w:val="20"/>
              </w:rPr>
            </w:pPr>
            <w:r w:rsidRPr="00161491">
              <w:rPr>
                <w:sz w:val="20"/>
                <w:szCs w:val="20"/>
              </w:rPr>
              <w:t>7.5% below average</w:t>
            </w:r>
          </w:p>
        </w:tc>
        <w:tc>
          <w:tcPr>
            <w:tcW w:w="2250" w:type="dxa"/>
            <w:tcBorders>
              <w:top w:val="single" w:sz="12" w:space="0" w:color="auto"/>
            </w:tcBorders>
            <w:vAlign w:val="center"/>
          </w:tcPr>
          <w:p w:rsidR="00053DF2" w:rsidRPr="00161491" w:rsidRDefault="00053DF2" w:rsidP="00053DF2">
            <w:pPr>
              <w:pStyle w:val="NoSpacing"/>
              <w:rPr>
                <w:sz w:val="20"/>
                <w:szCs w:val="20"/>
              </w:rPr>
            </w:pPr>
            <w:r w:rsidRPr="00161491">
              <w:rPr>
                <w:sz w:val="20"/>
                <w:szCs w:val="20"/>
              </w:rPr>
              <w:t>Reduce gap to 3%</w:t>
            </w:r>
          </w:p>
        </w:tc>
        <w:tc>
          <w:tcPr>
            <w:tcW w:w="1440" w:type="dxa"/>
            <w:tcBorders>
              <w:top w:val="single" w:sz="12" w:space="0" w:color="auto"/>
            </w:tcBorders>
            <w:vAlign w:val="center"/>
          </w:tcPr>
          <w:p w:rsidR="00053DF2" w:rsidRPr="00161491" w:rsidRDefault="00053DF2" w:rsidP="00053DF2">
            <w:pPr>
              <w:pStyle w:val="NoSpacing"/>
              <w:rPr>
                <w:sz w:val="20"/>
                <w:szCs w:val="20"/>
              </w:rPr>
            </w:pPr>
          </w:p>
        </w:tc>
        <w:tc>
          <w:tcPr>
            <w:tcW w:w="3510" w:type="dxa"/>
            <w:tcBorders>
              <w:top w:val="single" w:sz="12" w:space="0" w:color="auto"/>
            </w:tcBorders>
            <w:vAlign w:val="center"/>
          </w:tcPr>
          <w:p w:rsidR="00053DF2" w:rsidRPr="000C42B4" w:rsidRDefault="00B049FE" w:rsidP="00053DF2">
            <w:pPr>
              <w:pStyle w:val="NoSpacing"/>
              <w:rPr>
                <w:sz w:val="20"/>
                <w:szCs w:val="20"/>
              </w:rPr>
            </w:pPr>
            <w:r>
              <w:rPr>
                <w:sz w:val="20"/>
                <w:szCs w:val="20"/>
              </w:rPr>
              <w:t>Expand the Puente program to offer students enhanced transfer support services.*</w:t>
            </w:r>
          </w:p>
        </w:tc>
        <w:tc>
          <w:tcPr>
            <w:tcW w:w="1350" w:type="dxa"/>
            <w:tcBorders>
              <w:top w:val="single" w:sz="12" w:space="0" w:color="auto"/>
            </w:tcBorders>
            <w:vAlign w:val="center"/>
          </w:tcPr>
          <w:p w:rsidR="00053DF2" w:rsidRPr="000C42B4" w:rsidRDefault="00053DF2" w:rsidP="00053DF2">
            <w:pPr>
              <w:pStyle w:val="NoSpacing"/>
              <w:rPr>
                <w:sz w:val="20"/>
                <w:szCs w:val="20"/>
              </w:rPr>
            </w:pPr>
            <w:r>
              <w:rPr>
                <w:sz w:val="20"/>
                <w:szCs w:val="20"/>
              </w:rPr>
              <w:t>$43,762</w:t>
            </w:r>
          </w:p>
        </w:tc>
      </w:tr>
      <w:tr w:rsidR="00053DF2" w:rsidTr="00161491">
        <w:trPr>
          <w:trHeight w:val="732"/>
        </w:trPr>
        <w:tc>
          <w:tcPr>
            <w:tcW w:w="1417" w:type="dxa"/>
            <w:vMerge/>
          </w:tcPr>
          <w:p w:rsidR="00053DF2" w:rsidRPr="000C42B4" w:rsidRDefault="00053DF2" w:rsidP="00053DF2">
            <w:pPr>
              <w:pStyle w:val="NoSpacing"/>
              <w:rPr>
                <w:sz w:val="20"/>
                <w:szCs w:val="20"/>
              </w:rPr>
            </w:pPr>
          </w:p>
        </w:tc>
        <w:tc>
          <w:tcPr>
            <w:tcW w:w="1710" w:type="dxa"/>
            <w:shd w:val="clear" w:color="auto" w:fill="DEEAF6" w:themeFill="accent1" w:themeFillTint="33"/>
            <w:vAlign w:val="center"/>
          </w:tcPr>
          <w:p w:rsidR="00053DF2" w:rsidRPr="00161491" w:rsidRDefault="00053DF2" w:rsidP="00053DF2">
            <w:pPr>
              <w:pStyle w:val="NoSpacing"/>
              <w:rPr>
                <w:sz w:val="20"/>
                <w:szCs w:val="20"/>
              </w:rPr>
            </w:pPr>
            <w:r w:rsidRPr="00161491">
              <w:rPr>
                <w:sz w:val="20"/>
                <w:szCs w:val="20"/>
              </w:rPr>
              <w:t>Black / African-American</w:t>
            </w:r>
          </w:p>
        </w:tc>
        <w:tc>
          <w:tcPr>
            <w:tcW w:w="1350" w:type="dxa"/>
            <w:shd w:val="clear" w:color="auto" w:fill="DEEAF6" w:themeFill="accent1" w:themeFillTint="33"/>
            <w:vAlign w:val="center"/>
          </w:tcPr>
          <w:p w:rsidR="00053DF2" w:rsidRPr="00161491" w:rsidRDefault="00053DF2" w:rsidP="00053DF2">
            <w:pPr>
              <w:pStyle w:val="NoSpacing"/>
              <w:rPr>
                <w:sz w:val="20"/>
                <w:szCs w:val="20"/>
              </w:rPr>
            </w:pPr>
            <w:r w:rsidRPr="00161491">
              <w:rPr>
                <w:sz w:val="20"/>
                <w:szCs w:val="20"/>
              </w:rPr>
              <w:t>0.9</w:t>
            </w:r>
          </w:p>
        </w:tc>
        <w:tc>
          <w:tcPr>
            <w:tcW w:w="1350" w:type="dxa"/>
            <w:shd w:val="clear" w:color="auto" w:fill="DEEAF6" w:themeFill="accent1" w:themeFillTint="33"/>
            <w:vAlign w:val="center"/>
          </w:tcPr>
          <w:p w:rsidR="00053DF2" w:rsidRPr="00161491" w:rsidRDefault="00053DF2" w:rsidP="00053DF2">
            <w:pPr>
              <w:pStyle w:val="NoSpacing"/>
              <w:rPr>
                <w:sz w:val="20"/>
                <w:szCs w:val="20"/>
              </w:rPr>
            </w:pPr>
            <w:r w:rsidRPr="00161491">
              <w:rPr>
                <w:sz w:val="20"/>
                <w:szCs w:val="20"/>
              </w:rPr>
              <w:t>7.1% below average</w:t>
            </w:r>
          </w:p>
        </w:tc>
        <w:tc>
          <w:tcPr>
            <w:tcW w:w="2250" w:type="dxa"/>
            <w:shd w:val="clear" w:color="auto" w:fill="DEEAF6" w:themeFill="accent1" w:themeFillTint="33"/>
            <w:vAlign w:val="center"/>
          </w:tcPr>
          <w:p w:rsidR="00053DF2" w:rsidRPr="00161491" w:rsidRDefault="00053DF2" w:rsidP="00053DF2">
            <w:pPr>
              <w:pStyle w:val="NoSpacing"/>
              <w:rPr>
                <w:sz w:val="20"/>
                <w:szCs w:val="20"/>
              </w:rPr>
            </w:pPr>
            <w:r w:rsidRPr="00161491">
              <w:rPr>
                <w:sz w:val="20"/>
                <w:szCs w:val="20"/>
              </w:rPr>
              <w:t>Eliminate gap</w:t>
            </w:r>
          </w:p>
        </w:tc>
        <w:tc>
          <w:tcPr>
            <w:tcW w:w="1440" w:type="dxa"/>
            <w:shd w:val="clear" w:color="auto" w:fill="DEEAF6" w:themeFill="accent1" w:themeFillTint="33"/>
            <w:vAlign w:val="center"/>
          </w:tcPr>
          <w:p w:rsidR="00053DF2" w:rsidRPr="00161491" w:rsidRDefault="00035D30" w:rsidP="00053DF2">
            <w:pPr>
              <w:pStyle w:val="NoSpacing"/>
              <w:rPr>
                <w:sz w:val="20"/>
                <w:szCs w:val="20"/>
              </w:rPr>
            </w:pPr>
            <w:r>
              <w:rPr>
                <w:sz w:val="20"/>
                <w:szCs w:val="20"/>
              </w:rPr>
              <w:t>1% below average</w:t>
            </w:r>
          </w:p>
        </w:tc>
        <w:tc>
          <w:tcPr>
            <w:tcW w:w="3510" w:type="dxa"/>
            <w:shd w:val="clear" w:color="auto" w:fill="DEEAF6" w:themeFill="accent1" w:themeFillTint="33"/>
            <w:vAlign w:val="center"/>
          </w:tcPr>
          <w:p w:rsidR="00053DF2" w:rsidRPr="000C42B4" w:rsidRDefault="00B049FE" w:rsidP="00053DF2">
            <w:pPr>
              <w:pStyle w:val="NoSpacing"/>
              <w:rPr>
                <w:sz w:val="20"/>
                <w:szCs w:val="20"/>
              </w:rPr>
            </w:pPr>
            <w:r>
              <w:rPr>
                <w:sz w:val="20"/>
                <w:szCs w:val="20"/>
              </w:rPr>
              <w:t>Expand the Umoja program to offer students enhanced transfer support services.*</w:t>
            </w:r>
          </w:p>
        </w:tc>
        <w:tc>
          <w:tcPr>
            <w:tcW w:w="1350" w:type="dxa"/>
            <w:shd w:val="clear" w:color="auto" w:fill="DEEAF6" w:themeFill="accent1" w:themeFillTint="33"/>
            <w:vAlign w:val="center"/>
          </w:tcPr>
          <w:p w:rsidR="00053DF2" w:rsidRPr="000C42B4" w:rsidRDefault="00053DF2" w:rsidP="00053DF2">
            <w:pPr>
              <w:pStyle w:val="NoSpacing"/>
              <w:rPr>
                <w:sz w:val="20"/>
                <w:szCs w:val="20"/>
              </w:rPr>
            </w:pPr>
            <w:r>
              <w:rPr>
                <w:sz w:val="20"/>
                <w:szCs w:val="20"/>
              </w:rPr>
              <w:t>$37,262</w:t>
            </w:r>
          </w:p>
        </w:tc>
      </w:tr>
      <w:tr w:rsidR="00053DF2" w:rsidTr="00161491">
        <w:trPr>
          <w:trHeight w:val="732"/>
        </w:trPr>
        <w:tc>
          <w:tcPr>
            <w:tcW w:w="1417" w:type="dxa"/>
            <w:vMerge/>
          </w:tcPr>
          <w:p w:rsidR="00053DF2" w:rsidRPr="000C42B4" w:rsidRDefault="00053DF2" w:rsidP="00053DF2">
            <w:pPr>
              <w:pStyle w:val="NoSpacing"/>
              <w:rPr>
                <w:sz w:val="20"/>
                <w:szCs w:val="20"/>
              </w:rPr>
            </w:pPr>
          </w:p>
        </w:tc>
        <w:tc>
          <w:tcPr>
            <w:tcW w:w="1710" w:type="dxa"/>
            <w:vAlign w:val="center"/>
          </w:tcPr>
          <w:p w:rsidR="00053DF2" w:rsidRPr="00161491" w:rsidRDefault="00053DF2" w:rsidP="00053DF2">
            <w:pPr>
              <w:pStyle w:val="NoSpacing"/>
              <w:rPr>
                <w:sz w:val="20"/>
                <w:szCs w:val="20"/>
              </w:rPr>
            </w:pPr>
            <w:r w:rsidRPr="00161491">
              <w:rPr>
                <w:sz w:val="20"/>
                <w:szCs w:val="20"/>
              </w:rPr>
              <w:t xml:space="preserve">Native Hawaiian / Pacific Islander </w:t>
            </w:r>
          </w:p>
        </w:tc>
        <w:tc>
          <w:tcPr>
            <w:tcW w:w="1350" w:type="dxa"/>
            <w:vAlign w:val="center"/>
          </w:tcPr>
          <w:p w:rsidR="00053DF2" w:rsidRPr="00161491" w:rsidRDefault="00053DF2" w:rsidP="00053DF2">
            <w:pPr>
              <w:pStyle w:val="NoSpacing"/>
              <w:rPr>
                <w:sz w:val="20"/>
                <w:szCs w:val="20"/>
              </w:rPr>
            </w:pPr>
            <w:r w:rsidRPr="00161491">
              <w:rPr>
                <w:sz w:val="20"/>
                <w:szCs w:val="20"/>
              </w:rPr>
              <w:t>0.7</w:t>
            </w:r>
          </w:p>
        </w:tc>
        <w:tc>
          <w:tcPr>
            <w:tcW w:w="1350" w:type="dxa"/>
            <w:vAlign w:val="center"/>
          </w:tcPr>
          <w:p w:rsidR="00053DF2" w:rsidRPr="00161491" w:rsidRDefault="00053DF2" w:rsidP="00053DF2">
            <w:pPr>
              <w:pStyle w:val="NoSpacing"/>
              <w:rPr>
                <w:sz w:val="20"/>
                <w:szCs w:val="20"/>
              </w:rPr>
            </w:pPr>
            <w:r w:rsidRPr="00161491">
              <w:rPr>
                <w:sz w:val="20"/>
                <w:szCs w:val="20"/>
              </w:rPr>
              <w:t>15.6% below average</w:t>
            </w:r>
          </w:p>
        </w:tc>
        <w:tc>
          <w:tcPr>
            <w:tcW w:w="2250" w:type="dxa"/>
            <w:vAlign w:val="center"/>
          </w:tcPr>
          <w:p w:rsidR="00053DF2" w:rsidRPr="00161491" w:rsidRDefault="00053DF2" w:rsidP="00053DF2">
            <w:pPr>
              <w:pStyle w:val="NoSpacing"/>
              <w:rPr>
                <w:sz w:val="20"/>
                <w:szCs w:val="20"/>
              </w:rPr>
            </w:pPr>
            <w:r w:rsidRPr="00161491">
              <w:rPr>
                <w:sz w:val="20"/>
                <w:szCs w:val="20"/>
              </w:rPr>
              <w:t>Reduce gap to 5%</w:t>
            </w:r>
          </w:p>
        </w:tc>
        <w:tc>
          <w:tcPr>
            <w:tcW w:w="1440" w:type="dxa"/>
            <w:vAlign w:val="center"/>
          </w:tcPr>
          <w:p w:rsidR="00053DF2" w:rsidRPr="00161491" w:rsidRDefault="00035D30" w:rsidP="00053DF2">
            <w:pPr>
              <w:pStyle w:val="NoSpacing"/>
              <w:rPr>
                <w:sz w:val="20"/>
                <w:szCs w:val="20"/>
              </w:rPr>
            </w:pPr>
            <w:r>
              <w:rPr>
                <w:sz w:val="20"/>
                <w:szCs w:val="20"/>
              </w:rPr>
              <w:t>23.26% above average</w:t>
            </w:r>
          </w:p>
        </w:tc>
        <w:tc>
          <w:tcPr>
            <w:tcW w:w="3510" w:type="dxa"/>
            <w:vAlign w:val="center"/>
          </w:tcPr>
          <w:p w:rsidR="00053DF2" w:rsidRPr="000C42B4" w:rsidRDefault="00053DF2" w:rsidP="00053DF2">
            <w:pPr>
              <w:pStyle w:val="NoSpacing"/>
              <w:rPr>
                <w:sz w:val="20"/>
                <w:szCs w:val="20"/>
              </w:rPr>
            </w:pPr>
            <w:r>
              <w:rPr>
                <w:sz w:val="20"/>
                <w:szCs w:val="20"/>
              </w:rPr>
              <w:t>Create a community based cohort program that increases transfer and transfer velocity for NHPI students.</w:t>
            </w:r>
            <w:r w:rsidR="006A74C0">
              <w:rPr>
                <w:sz w:val="20"/>
                <w:szCs w:val="20"/>
              </w:rPr>
              <w:t>*</w:t>
            </w:r>
          </w:p>
        </w:tc>
        <w:tc>
          <w:tcPr>
            <w:tcW w:w="1350" w:type="dxa"/>
            <w:vAlign w:val="center"/>
          </w:tcPr>
          <w:p w:rsidR="00053DF2" w:rsidRPr="000C42B4" w:rsidRDefault="00053DF2" w:rsidP="00053DF2">
            <w:pPr>
              <w:pStyle w:val="NoSpacing"/>
              <w:rPr>
                <w:sz w:val="20"/>
                <w:szCs w:val="20"/>
              </w:rPr>
            </w:pPr>
            <w:r>
              <w:rPr>
                <w:sz w:val="20"/>
                <w:szCs w:val="20"/>
              </w:rPr>
              <w:t>$30,912</w:t>
            </w:r>
          </w:p>
        </w:tc>
      </w:tr>
      <w:tr w:rsidR="00053DF2" w:rsidTr="00053DF2">
        <w:trPr>
          <w:trHeight w:val="40"/>
        </w:trPr>
        <w:tc>
          <w:tcPr>
            <w:tcW w:w="1417" w:type="dxa"/>
            <w:vMerge/>
          </w:tcPr>
          <w:p w:rsidR="00053DF2" w:rsidRPr="000C42B4" w:rsidRDefault="00053DF2" w:rsidP="00053DF2">
            <w:pPr>
              <w:pStyle w:val="NoSpacing"/>
              <w:rPr>
                <w:sz w:val="20"/>
                <w:szCs w:val="20"/>
              </w:rPr>
            </w:pPr>
          </w:p>
        </w:tc>
        <w:tc>
          <w:tcPr>
            <w:tcW w:w="1710" w:type="dxa"/>
            <w:vMerge w:val="restart"/>
            <w:shd w:val="clear" w:color="auto" w:fill="DEEAF6" w:themeFill="accent1" w:themeFillTint="33"/>
            <w:vAlign w:val="center"/>
          </w:tcPr>
          <w:p w:rsidR="00053DF2" w:rsidRPr="000C42B4" w:rsidRDefault="00053DF2" w:rsidP="00053DF2">
            <w:pPr>
              <w:pStyle w:val="NoSpacing"/>
              <w:rPr>
                <w:sz w:val="20"/>
                <w:szCs w:val="20"/>
              </w:rPr>
            </w:pPr>
            <w:r>
              <w:rPr>
                <w:sz w:val="20"/>
                <w:szCs w:val="20"/>
              </w:rPr>
              <w:t>Men of Color</w:t>
            </w:r>
          </w:p>
        </w:tc>
        <w:tc>
          <w:tcPr>
            <w:tcW w:w="1350" w:type="dxa"/>
            <w:vMerge w:val="restart"/>
            <w:shd w:val="clear" w:color="auto" w:fill="DEEAF6" w:themeFill="accent1" w:themeFillTint="33"/>
            <w:vAlign w:val="center"/>
          </w:tcPr>
          <w:p w:rsidR="00053DF2" w:rsidRPr="000C42B4" w:rsidRDefault="00053DF2" w:rsidP="00053DF2">
            <w:pPr>
              <w:pStyle w:val="NoSpacing"/>
              <w:rPr>
                <w:sz w:val="20"/>
                <w:szCs w:val="20"/>
              </w:rPr>
            </w:pPr>
            <w:r>
              <w:rPr>
                <w:sz w:val="20"/>
                <w:szCs w:val="20"/>
              </w:rPr>
              <w:t>0.9</w:t>
            </w:r>
          </w:p>
        </w:tc>
        <w:tc>
          <w:tcPr>
            <w:tcW w:w="1350" w:type="dxa"/>
            <w:vMerge w:val="restart"/>
            <w:shd w:val="clear" w:color="auto" w:fill="DEEAF6" w:themeFill="accent1" w:themeFillTint="33"/>
            <w:vAlign w:val="center"/>
          </w:tcPr>
          <w:p w:rsidR="00053DF2" w:rsidRPr="000C42B4" w:rsidRDefault="00053DF2" w:rsidP="00053DF2">
            <w:pPr>
              <w:pStyle w:val="NoSpacing"/>
              <w:rPr>
                <w:sz w:val="20"/>
                <w:szCs w:val="20"/>
              </w:rPr>
            </w:pPr>
            <w:r>
              <w:rPr>
                <w:sz w:val="20"/>
                <w:szCs w:val="20"/>
              </w:rPr>
              <w:t>2.8%</w:t>
            </w:r>
          </w:p>
        </w:tc>
        <w:tc>
          <w:tcPr>
            <w:tcW w:w="2250" w:type="dxa"/>
            <w:vMerge w:val="restart"/>
            <w:shd w:val="clear" w:color="auto" w:fill="DEEAF6" w:themeFill="accent1" w:themeFillTint="33"/>
            <w:vAlign w:val="center"/>
          </w:tcPr>
          <w:p w:rsidR="00053DF2" w:rsidRPr="000C42B4" w:rsidRDefault="00053DF2" w:rsidP="00053DF2">
            <w:pPr>
              <w:pStyle w:val="NoSpacing"/>
              <w:rPr>
                <w:sz w:val="20"/>
                <w:szCs w:val="20"/>
              </w:rPr>
            </w:pPr>
            <w:r>
              <w:rPr>
                <w:sz w:val="20"/>
                <w:szCs w:val="20"/>
              </w:rPr>
              <w:t>Reduce gap to 1%</w:t>
            </w:r>
          </w:p>
        </w:tc>
        <w:tc>
          <w:tcPr>
            <w:tcW w:w="1440" w:type="dxa"/>
            <w:shd w:val="clear" w:color="auto" w:fill="000000" w:themeFill="text1"/>
          </w:tcPr>
          <w:p w:rsidR="00053DF2" w:rsidRPr="000C42B4" w:rsidRDefault="00053DF2" w:rsidP="00053DF2">
            <w:pPr>
              <w:pStyle w:val="NoSpacing"/>
              <w:rPr>
                <w:sz w:val="20"/>
                <w:szCs w:val="20"/>
              </w:rPr>
            </w:pPr>
          </w:p>
        </w:tc>
        <w:tc>
          <w:tcPr>
            <w:tcW w:w="3510" w:type="dxa"/>
            <w:shd w:val="clear" w:color="auto" w:fill="000000" w:themeFill="text1"/>
            <w:vAlign w:val="center"/>
          </w:tcPr>
          <w:p w:rsidR="00053DF2" w:rsidRPr="000C42B4" w:rsidRDefault="00053DF2" w:rsidP="00053DF2">
            <w:pPr>
              <w:pStyle w:val="NoSpacing"/>
              <w:rPr>
                <w:sz w:val="20"/>
                <w:szCs w:val="20"/>
              </w:rPr>
            </w:pPr>
          </w:p>
        </w:tc>
        <w:tc>
          <w:tcPr>
            <w:tcW w:w="1350" w:type="dxa"/>
            <w:shd w:val="clear" w:color="auto" w:fill="000000" w:themeFill="text1"/>
            <w:vAlign w:val="center"/>
          </w:tcPr>
          <w:p w:rsidR="00053DF2" w:rsidRPr="000C42B4" w:rsidRDefault="00053DF2" w:rsidP="00053DF2">
            <w:pPr>
              <w:pStyle w:val="NoSpacing"/>
              <w:rPr>
                <w:sz w:val="20"/>
                <w:szCs w:val="20"/>
              </w:rPr>
            </w:pPr>
          </w:p>
        </w:tc>
      </w:tr>
      <w:tr w:rsidR="00053DF2" w:rsidTr="00053DF2">
        <w:trPr>
          <w:trHeight w:val="40"/>
        </w:trPr>
        <w:tc>
          <w:tcPr>
            <w:tcW w:w="1417" w:type="dxa"/>
            <w:vMerge/>
          </w:tcPr>
          <w:p w:rsidR="00053DF2" w:rsidRPr="000C42B4" w:rsidRDefault="00053DF2" w:rsidP="00053DF2">
            <w:pPr>
              <w:pStyle w:val="NoSpacing"/>
              <w:rPr>
                <w:sz w:val="20"/>
                <w:szCs w:val="20"/>
              </w:rPr>
            </w:pPr>
          </w:p>
        </w:tc>
        <w:tc>
          <w:tcPr>
            <w:tcW w:w="1710" w:type="dxa"/>
            <w:vMerge/>
            <w:shd w:val="clear" w:color="auto" w:fill="DEEAF6" w:themeFill="accent1" w:themeFillTint="33"/>
            <w:vAlign w:val="center"/>
          </w:tcPr>
          <w:p w:rsidR="00053DF2" w:rsidRPr="000C42B4" w:rsidRDefault="00053DF2" w:rsidP="00053DF2">
            <w:pPr>
              <w:pStyle w:val="NoSpacing"/>
              <w:rPr>
                <w:sz w:val="20"/>
                <w:szCs w:val="20"/>
              </w:rPr>
            </w:pPr>
          </w:p>
        </w:tc>
        <w:tc>
          <w:tcPr>
            <w:tcW w:w="1350" w:type="dxa"/>
            <w:vMerge/>
            <w:shd w:val="clear" w:color="auto" w:fill="DEEAF6" w:themeFill="accent1" w:themeFillTint="33"/>
            <w:vAlign w:val="center"/>
          </w:tcPr>
          <w:p w:rsidR="00053DF2" w:rsidRPr="000C42B4" w:rsidRDefault="00053DF2" w:rsidP="00053DF2">
            <w:pPr>
              <w:pStyle w:val="NoSpacing"/>
              <w:rPr>
                <w:sz w:val="20"/>
                <w:szCs w:val="20"/>
              </w:rPr>
            </w:pPr>
          </w:p>
        </w:tc>
        <w:tc>
          <w:tcPr>
            <w:tcW w:w="1350" w:type="dxa"/>
            <w:vMerge/>
            <w:shd w:val="clear" w:color="auto" w:fill="DEEAF6" w:themeFill="accent1" w:themeFillTint="33"/>
            <w:vAlign w:val="center"/>
          </w:tcPr>
          <w:p w:rsidR="00053DF2" w:rsidRPr="000C42B4" w:rsidRDefault="00053DF2" w:rsidP="00053DF2">
            <w:pPr>
              <w:pStyle w:val="NoSpacing"/>
              <w:rPr>
                <w:sz w:val="20"/>
                <w:szCs w:val="20"/>
              </w:rPr>
            </w:pPr>
          </w:p>
        </w:tc>
        <w:tc>
          <w:tcPr>
            <w:tcW w:w="2250" w:type="dxa"/>
            <w:vMerge/>
            <w:shd w:val="clear" w:color="auto" w:fill="DEEAF6" w:themeFill="accent1" w:themeFillTint="33"/>
            <w:vAlign w:val="center"/>
          </w:tcPr>
          <w:p w:rsidR="00053DF2" w:rsidRPr="000C42B4" w:rsidRDefault="00053DF2" w:rsidP="00053DF2">
            <w:pPr>
              <w:pStyle w:val="NoSpacing"/>
              <w:rPr>
                <w:sz w:val="20"/>
                <w:szCs w:val="20"/>
              </w:rPr>
            </w:pPr>
          </w:p>
        </w:tc>
        <w:tc>
          <w:tcPr>
            <w:tcW w:w="1440" w:type="dxa"/>
            <w:shd w:val="clear" w:color="auto" w:fill="000000" w:themeFill="text1"/>
          </w:tcPr>
          <w:p w:rsidR="00053DF2" w:rsidRPr="000C42B4" w:rsidRDefault="00053DF2" w:rsidP="00053DF2">
            <w:pPr>
              <w:pStyle w:val="NoSpacing"/>
              <w:rPr>
                <w:sz w:val="20"/>
                <w:szCs w:val="20"/>
              </w:rPr>
            </w:pPr>
          </w:p>
        </w:tc>
        <w:tc>
          <w:tcPr>
            <w:tcW w:w="3510" w:type="dxa"/>
            <w:shd w:val="clear" w:color="auto" w:fill="000000" w:themeFill="text1"/>
            <w:vAlign w:val="center"/>
          </w:tcPr>
          <w:p w:rsidR="00053DF2" w:rsidRPr="000C42B4" w:rsidRDefault="00053DF2" w:rsidP="00053DF2">
            <w:pPr>
              <w:pStyle w:val="NoSpacing"/>
              <w:rPr>
                <w:sz w:val="20"/>
                <w:szCs w:val="20"/>
              </w:rPr>
            </w:pPr>
          </w:p>
        </w:tc>
        <w:tc>
          <w:tcPr>
            <w:tcW w:w="1350" w:type="dxa"/>
            <w:shd w:val="clear" w:color="auto" w:fill="000000" w:themeFill="text1"/>
            <w:vAlign w:val="center"/>
          </w:tcPr>
          <w:p w:rsidR="00053DF2" w:rsidRPr="000C42B4" w:rsidRDefault="00053DF2" w:rsidP="00053DF2">
            <w:pPr>
              <w:pStyle w:val="NoSpacing"/>
              <w:rPr>
                <w:sz w:val="20"/>
                <w:szCs w:val="20"/>
              </w:rPr>
            </w:pPr>
          </w:p>
        </w:tc>
      </w:tr>
      <w:tr w:rsidR="00053DF2" w:rsidTr="00053DF2">
        <w:trPr>
          <w:trHeight w:val="40"/>
        </w:trPr>
        <w:tc>
          <w:tcPr>
            <w:tcW w:w="1417" w:type="dxa"/>
            <w:vMerge/>
          </w:tcPr>
          <w:p w:rsidR="00053DF2" w:rsidRPr="000C42B4" w:rsidRDefault="00053DF2" w:rsidP="00053DF2">
            <w:pPr>
              <w:pStyle w:val="NoSpacing"/>
              <w:rPr>
                <w:sz w:val="20"/>
                <w:szCs w:val="20"/>
              </w:rPr>
            </w:pPr>
          </w:p>
        </w:tc>
        <w:tc>
          <w:tcPr>
            <w:tcW w:w="1710" w:type="dxa"/>
            <w:vMerge/>
            <w:shd w:val="clear" w:color="auto" w:fill="DEEAF6" w:themeFill="accent1" w:themeFillTint="33"/>
            <w:vAlign w:val="center"/>
          </w:tcPr>
          <w:p w:rsidR="00053DF2" w:rsidRPr="000C42B4" w:rsidRDefault="00053DF2" w:rsidP="00053DF2">
            <w:pPr>
              <w:pStyle w:val="NoSpacing"/>
              <w:rPr>
                <w:sz w:val="20"/>
                <w:szCs w:val="20"/>
              </w:rPr>
            </w:pPr>
          </w:p>
        </w:tc>
        <w:tc>
          <w:tcPr>
            <w:tcW w:w="1350" w:type="dxa"/>
            <w:vMerge/>
            <w:shd w:val="clear" w:color="auto" w:fill="DEEAF6" w:themeFill="accent1" w:themeFillTint="33"/>
            <w:vAlign w:val="center"/>
          </w:tcPr>
          <w:p w:rsidR="00053DF2" w:rsidRPr="000C42B4" w:rsidRDefault="00053DF2" w:rsidP="00053DF2">
            <w:pPr>
              <w:pStyle w:val="NoSpacing"/>
              <w:rPr>
                <w:sz w:val="20"/>
                <w:szCs w:val="20"/>
              </w:rPr>
            </w:pPr>
          </w:p>
        </w:tc>
        <w:tc>
          <w:tcPr>
            <w:tcW w:w="1350" w:type="dxa"/>
            <w:vMerge/>
            <w:shd w:val="clear" w:color="auto" w:fill="DEEAF6" w:themeFill="accent1" w:themeFillTint="33"/>
            <w:vAlign w:val="center"/>
          </w:tcPr>
          <w:p w:rsidR="00053DF2" w:rsidRPr="000C42B4" w:rsidRDefault="00053DF2" w:rsidP="00053DF2">
            <w:pPr>
              <w:pStyle w:val="NoSpacing"/>
              <w:rPr>
                <w:sz w:val="20"/>
                <w:szCs w:val="20"/>
              </w:rPr>
            </w:pPr>
          </w:p>
        </w:tc>
        <w:tc>
          <w:tcPr>
            <w:tcW w:w="2250" w:type="dxa"/>
            <w:vMerge/>
            <w:shd w:val="clear" w:color="auto" w:fill="DEEAF6" w:themeFill="accent1" w:themeFillTint="33"/>
            <w:vAlign w:val="center"/>
          </w:tcPr>
          <w:p w:rsidR="00053DF2" w:rsidRPr="000C42B4" w:rsidRDefault="00053DF2" w:rsidP="00053DF2">
            <w:pPr>
              <w:pStyle w:val="NoSpacing"/>
              <w:rPr>
                <w:sz w:val="20"/>
                <w:szCs w:val="20"/>
              </w:rPr>
            </w:pPr>
          </w:p>
        </w:tc>
        <w:tc>
          <w:tcPr>
            <w:tcW w:w="1440" w:type="dxa"/>
            <w:shd w:val="clear" w:color="auto" w:fill="000000" w:themeFill="text1"/>
          </w:tcPr>
          <w:p w:rsidR="00053DF2" w:rsidRPr="000C42B4" w:rsidRDefault="00053DF2" w:rsidP="00053DF2">
            <w:pPr>
              <w:pStyle w:val="NoSpacing"/>
              <w:rPr>
                <w:sz w:val="20"/>
                <w:szCs w:val="20"/>
              </w:rPr>
            </w:pPr>
          </w:p>
        </w:tc>
        <w:tc>
          <w:tcPr>
            <w:tcW w:w="3510" w:type="dxa"/>
            <w:shd w:val="clear" w:color="auto" w:fill="000000" w:themeFill="text1"/>
            <w:vAlign w:val="center"/>
          </w:tcPr>
          <w:p w:rsidR="00053DF2" w:rsidRPr="000C42B4" w:rsidRDefault="00053DF2" w:rsidP="00053DF2">
            <w:pPr>
              <w:pStyle w:val="NoSpacing"/>
              <w:rPr>
                <w:sz w:val="20"/>
                <w:szCs w:val="20"/>
              </w:rPr>
            </w:pPr>
          </w:p>
        </w:tc>
        <w:tc>
          <w:tcPr>
            <w:tcW w:w="1350" w:type="dxa"/>
            <w:shd w:val="clear" w:color="auto" w:fill="000000" w:themeFill="text1"/>
            <w:vAlign w:val="center"/>
          </w:tcPr>
          <w:p w:rsidR="00053DF2" w:rsidRPr="000C42B4" w:rsidRDefault="00053DF2" w:rsidP="00053DF2">
            <w:pPr>
              <w:pStyle w:val="NoSpacing"/>
              <w:rPr>
                <w:sz w:val="20"/>
                <w:szCs w:val="20"/>
              </w:rPr>
            </w:pPr>
          </w:p>
        </w:tc>
      </w:tr>
    </w:tbl>
    <w:p w:rsidR="005400BF" w:rsidRDefault="005400BF" w:rsidP="00C34B50">
      <w:pPr>
        <w:pStyle w:val="NoSpacing"/>
      </w:pPr>
    </w:p>
    <w:p w:rsidR="008858C0" w:rsidRDefault="008858C0">
      <w:r>
        <w:br w:type="page"/>
      </w:r>
    </w:p>
    <w:p w:rsidR="000C30DC" w:rsidRDefault="000C30DC" w:rsidP="00C34B50">
      <w:pPr>
        <w:pStyle w:val="NoSpacing"/>
      </w:pPr>
      <w:r>
        <w:lastRenderedPageBreak/>
        <w:t>In February, the Chancellor’s Office required all colleges to integrate their Basic Skills Initiative</w:t>
      </w:r>
      <w:r w:rsidR="0085754C">
        <w:t xml:space="preserve"> (BSI)</w:t>
      </w:r>
      <w:r>
        <w:t>, Student Equity</w:t>
      </w:r>
      <w:r w:rsidR="0085754C">
        <w:t xml:space="preserve"> (SE)</w:t>
      </w:r>
      <w:r>
        <w:t xml:space="preserve">, and Student Success and Support Program </w:t>
      </w:r>
      <w:r w:rsidR="0085754C">
        <w:t xml:space="preserve">(SSSP) </w:t>
      </w:r>
      <w:r>
        <w:t xml:space="preserve">goals.  Below are a list of the integrated goals, and the student equity activities that will be done to achieve these goals.   </w:t>
      </w:r>
    </w:p>
    <w:p w:rsidR="000C30DC" w:rsidRDefault="000C30DC" w:rsidP="00C34B50">
      <w:pPr>
        <w:pStyle w:val="NoSpacing"/>
      </w:pPr>
    </w:p>
    <w:p w:rsidR="0085754C" w:rsidRPr="008F3225" w:rsidRDefault="0085754C" w:rsidP="00C34B50">
      <w:pPr>
        <w:pStyle w:val="NoSpacing"/>
        <w:rPr>
          <w:b/>
          <w:sz w:val="24"/>
          <w:szCs w:val="24"/>
        </w:rPr>
      </w:pPr>
      <w:r w:rsidRPr="008F3225">
        <w:rPr>
          <w:b/>
          <w:sz w:val="24"/>
          <w:szCs w:val="24"/>
        </w:rPr>
        <w:t>Table 2: BSI-SE-SSSP Integrated Goals and Related SE Activities</w:t>
      </w:r>
    </w:p>
    <w:tbl>
      <w:tblPr>
        <w:tblStyle w:val="TableGrid"/>
        <w:tblW w:w="0" w:type="auto"/>
        <w:tblLook w:val="04A0" w:firstRow="1" w:lastRow="0" w:firstColumn="1" w:lastColumn="0" w:noHBand="0" w:noVBand="1"/>
      </w:tblPr>
      <w:tblGrid>
        <w:gridCol w:w="4495"/>
        <w:gridCol w:w="9895"/>
      </w:tblGrid>
      <w:tr w:rsidR="0085754C" w:rsidRPr="008F3225" w:rsidTr="0085754C">
        <w:tc>
          <w:tcPr>
            <w:tcW w:w="4495" w:type="dxa"/>
            <w:shd w:val="clear" w:color="auto" w:fill="9CC2E5" w:themeFill="accent1" w:themeFillTint="99"/>
          </w:tcPr>
          <w:p w:rsidR="0085754C" w:rsidRPr="008F3225" w:rsidRDefault="0085754C" w:rsidP="0085754C">
            <w:pPr>
              <w:pStyle w:val="NoSpacing"/>
              <w:jc w:val="center"/>
              <w:rPr>
                <w:b/>
                <w:sz w:val="24"/>
                <w:szCs w:val="24"/>
              </w:rPr>
            </w:pPr>
            <w:r w:rsidRPr="008F3225">
              <w:rPr>
                <w:b/>
                <w:sz w:val="24"/>
                <w:szCs w:val="24"/>
              </w:rPr>
              <w:t>Integrated Goals</w:t>
            </w:r>
          </w:p>
        </w:tc>
        <w:tc>
          <w:tcPr>
            <w:tcW w:w="9895" w:type="dxa"/>
            <w:shd w:val="clear" w:color="auto" w:fill="9CC2E5" w:themeFill="accent1" w:themeFillTint="99"/>
          </w:tcPr>
          <w:p w:rsidR="0085754C" w:rsidRPr="008F3225" w:rsidRDefault="0085754C" w:rsidP="0085754C">
            <w:pPr>
              <w:pStyle w:val="NoSpacing"/>
              <w:jc w:val="center"/>
              <w:rPr>
                <w:b/>
                <w:sz w:val="24"/>
                <w:szCs w:val="24"/>
              </w:rPr>
            </w:pPr>
            <w:r w:rsidRPr="008F3225">
              <w:rPr>
                <w:b/>
                <w:sz w:val="24"/>
                <w:szCs w:val="24"/>
              </w:rPr>
              <w:t>SE Activities</w:t>
            </w:r>
          </w:p>
        </w:tc>
      </w:tr>
      <w:tr w:rsidR="0085754C" w:rsidTr="008858C0">
        <w:tc>
          <w:tcPr>
            <w:tcW w:w="4495" w:type="dxa"/>
            <w:vAlign w:val="center"/>
          </w:tcPr>
          <w:p w:rsidR="0085754C" w:rsidRDefault="0085754C" w:rsidP="00C34B50">
            <w:pPr>
              <w:pStyle w:val="NoSpacing"/>
            </w:pPr>
            <w:r>
              <w:t>Goal 1. Close student equity and achievement gaps among basic skills and entering college students</w:t>
            </w:r>
          </w:p>
        </w:tc>
        <w:tc>
          <w:tcPr>
            <w:tcW w:w="9895" w:type="dxa"/>
            <w:vAlign w:val="center"/>
          </w:tcPr>
          <w:p w:rsidR="0085754C" w:rsidRDefault="0085754C" w:rsidP="0085754C">
            <w:pPr>
              <w:pStyle w:val="NoSpacing"/>
              <w:numPr>
                <w:ilvl w:val="0"/>
                <w:numId w:val="3"/>
              </w:numPr>
            </w:pPr>
            <w:r>
              <w:t>Increase professional development opportunities focused on equity-minded, student centered teaching strategies</w:t>
            </w:r>
          </w:p>
          <w:p w:rsidR="0085754C" w:rsidRDefault="0085754C" w:rsidP="0085754C">
            <w:pPr>
              <w:pStyle w:val="NoSpacing"/>
              <w:numPr>
                <w:ilvl w:val="0"/>
                <w:numId w:val="3"/>
              </w:numPr>
            </w:pPr>
            <w:r>
              <w:t>Scale Bridge to Success in Math program</w:t>
            </w:r>
          </w:p>
          <w:p w:rsidR="0085754C" w:rsidRDefault="0085754C" w:rsidP="0085754C">
            <w:pPr>
              <w:pStyle w:val="NoSpacing"/>
              <w:numPr>
                <w:ilvl w:val="0"/>
                <w:numId w:val="3"/>
              </w:numPr>
            </w:pPr>
            <w:r>
              <w:t>Scale accelerated English courses to assist students with basic skills English course completion and progression.</w:t>
            </w:r>
          </w:p>
        </w:tc>
      </w:tr>
      <w:tr w:rsidR="0085754C" w:rsidTr="008858C0">
        <w:tc>
          <w:tcPr>
            <w:tcW w:w="4495" w:type="dxa"/>
            <w:vAlign w:val="center"/>
          </w:tcPr>
          <w:p w:rsidR="0085754C" w:rsidRDefault="0085754C" w:rsidP="0085754C">
            <w:pPr>
              <w:pStyle w:val="NoSpacing"/>
            </w:pPr>
            <w:r>
              <w:t>Goal 2. Develop and deploy Academic and Career Pathways (ACP) and associated academic maps with a scaled and integrated career assessment, counseling informational structure to help students enter an ACP</w:t>
            </w:r>
          </w:p>
        </w:tc>
        <w:tc>
          <w:tcPr>
            <w:tcW w:w="9895" w:type="dxa"/>
            <w:vAlign w:val="center"/>
          </w:tcPr>
          <w:p w:rsidR="0085754C" w:rsidRDefault="0085754C" w:rsidP="00B40497">
            <w:pPr>
              <w:pStyle w:val="NoSpacing"/>
              <w:numPr>
                <w:ilvl w:val="0"/>
                <w:numId w:val="3"/>
              </w:numPr>
            </w:pPr>
            <w:r>
              <w:t>Embed ACPs into ASE programs as a tool to increase the number of students progressing through and reaching their academic goal in a timely manner</w:t>
            </w:r>
          </w:p>
        </w:tc>
      </w:tr>
      <w:tr w:rsidR="008858C0" w:rsidTr="008858C0">
        <w:tc>
          <w:tcPr>
            <w:tcW w:w="4495" w:type="dxa"/>
            <w:vAlign w:val="center"/>
          </w:tcPr>
          <w:p w:rsidR="008858C0" w:rsidRDefault="008858C0" w:rsidP="0085754C">
            <w:pPr>
              <w:pStyle w:val="NoSpacing"/>
            </w:pPr>
            <w:r>
              <w:t>Goal 3.  Develop and deploy a first year support structure that integrates student services and instruction</w:t>
            </w:r>
          </w:p>
        </w:tc>
        <w:tc>
          <w:tcPr>
            <w:tcW w:w="9895" w:type="dxa"/>
            <w:vAlign w:val="center"/>
          </w:tcPr>
          <w:p w:rsidR="008858C0" w:rsidRDefault="008858C0" w:rsidP="00B40497">
            <w:pPr>
              <w:pStyle w:val="NoSpacing"/>
              <w:numPr>
                <w:ilvl w:val="0"/>
                <w:numId w:val="3"/>
              </w:numPr>
            </w:pPr>
            <w:r>
              <w:t>Scale best practices from ASE programs and EOPS to serve disproportionately impacted students entering MiraCosta from high school through First Year Forward (FYF)</w:t>
            </w:r>
          </w:p>
        </w:tc>
      </w:tr>
      <w:tr w:rsidR="008858C0" w:rsidTr="008858C0">
        <w:tc>
          <w:tcPr>
            <w:tcW w:w="4495" w:type="dxa"/>
            <w:vAlign w:val="center"/>
          </w:tcPr>
          <w:p w:rsidR="008858C0" w:rsidRDefault="008858C0" w:rsidP="0085754C">
            <w:pPr>
              <w:pStyle w:val="NoSpacing"/>
            </w:pPr>
            <w:r>
              <w:t>Goal 4.  Strengthen student connections through contextualized and applied learning in the classroom supplemented by co-curricular activities</w:t>
            </w:r>
          </w:p>
        </w:tc>
        <w:tc>
          <w:tcPr>
            <w:tcW w:w="9895" w:type="dxa"/>
            <w:vAlign w:val="center"/>
          </w:tcPr>
          <w:p w:rsidR="008858C0" w:rsidRDefault="008858C0" w:rsidP="00B40497">
            <w:pPr>
              <w:pStyle w:val="NoSpacing"/>
              <w:numPr>
                <w:ilvl w:val="0"/>
                <w:numId w:val="3"/>
              </w:numPr>
            </w:pPr>
            <w:r>
              <w:t>Through the implementation of guided pathways, develop thematic general education options for students that provide opportunities for inclusive and contextualize learning around social justice and equity</w:t>
            </w:r>
          </w:p>
          <w:p w:rsidR="008858C0" w:rsidRDefault="008858C0" w:rsidP="00B40497">
            <w:pPr>
              <w:pStyle w:val="NoSpacing"/>
              <w:numPr>
                <w:ilvl w:val="0"/>
                <w:numId w:val="3"/>
              </w:numPr>
            </w:pPr>
            <w:r>
              <w:t>Increase professional development opportunities focused on developing equity-minded, culturally competent co-curricular activities for students</w:t>
            </w:r>
          </w:p>
          <w:p w:rsidR="008858C0" w:rsidRDefault="008858C0" w:rsidP="00B40497">
            <w:pPr>
              <w:pStyle w:val="NoSpacing"/>
              <w:numPr>
                <w:ilvl w:val="0"/>
                <w:numId w:val="3"/>
              </w:numPr>
            </w:pPr>
            <w:r>
              <w:t>Increase co-curricular opportunities for students that enhance inclusion and cross-cultural competence</w:t>
            </w:r>
          </w:p>
          <w:p w:rsidR="008858C0" w:rsidRDefault="008858C0" w:rsidP="00B40497">
            <w:pPr>
              <w:pStyle w:val="NoSpacing"/>
              <w:numPr>
                <w:ilvl w:val="0"/>
                <w:numId w:val="3"/>
              </w:numPr>
            </w:pPr>
            <w:r>
              <w:t xml:space="preserve">Increase student participation in ASE programs by expanding non-instructional opportunities for involvement and enhancing </w:t>
            </w:r>
            <w:proofErr w:type="spellStart"/>
            <w:r>
              <w:t>inreach</w:t>
            </w:r>
            <w:proofErr w:type="spellEnd"/>
          </w:p>
        </w:tc>
      </w:tr>
      <w:tr w:rsidR="008858C0" w:rsidTr="008858C0">
        <w:tc>
          <w:tcPr>
            <w:tcW w:w="4495" w:type="dxa"/>
            <w:vAlign w:val="center"/>
          </w:tcPr>
          <w:p w:rsidR="008858C0" w:rsidRDefault="008858C0" w:rsidP="0085754C">
            <w:pPr>
              <w:pStyle w:val="NoSpacing"/>
            </w:pPr>
            <w:r>
              <w:t>Goal 5. Develop comprehensive case management structure for continued support and progress monitoring during the first year and beyond</w:t>
            </w:r>
          </w:p>
        </w:tc>
        <w:tc>
          <w:tcPr>
            <w:tcW w:w="9895" w:type="dxa"/>
            <w:vAlign w:val="center"/>
          </w:tcPr>
          <w:p w:rsidR="008858C0" w:rsidRDefault="00E00CDF" w:rsidP="00B40497">
            <w:pPr>
              <w:pStyle w:val="NoSpacing"/>
              <w:numPr>
                <w:ilvl w:val="0"/>
                <w:numId w:val="3"/>
              </w:numPr>
            </w:pPr>
            <w:r>
              <w:t>Expand academic and student support services for students outside of traditional office settings and hours during critical times in the semester</w:t>
            </w:r>
          </w:p>
        </w:tc>
      </w:tr>
    </w:tbl>
    <w:p w:rsidR="0085754C" w:rsidRDefault="0085754C" w:rsidP="00C34B50">
      <w:pPr>
        <w:pStyle w:val="NoSpacing"/>
      </w:pPr>
    </w:p>
    <w:p w:rsidR="00924136" w:rsidRDefault="00924136" w:rsidP="00C34B50">
      <w:pPr>
        <w:pStyle w:val="NoSpacing"/>
      </w:pPr>
    </w:p>
    <w:p w:rsidR="00924136" w:rsidRDefault="00924136" w:rsidP="00C34B50">
      <w:pPr>
        <w:pStyle w:val="NoSpacing"/>
      </w:pPr>
    </w:p>
    <w:p w:rsidR="00924136" w:rsidRDefault="00924136" w:rsidP="00C34B50">
      <w:pPr>
        <w:pStyle w:val="NoSpacing"/>
      </w:pPr>
    </w:p>
    <w:p w:rsidR="00924136" w:rsidRDefault="00924136" w:rsidP="00C34B50">
      <w:pPr>
        <w:pStyle w:val="NoSpacing"/>
      </w:pPr>
    </w:p>
    <w:p w:rsidR="00924136" w:rsidRDefault="00924136" w:rsidP="00C34B50">
      <w:pPr>
        <w:pStyle w:val="NoSpacing"/>
      </w:pPr>
    </w:p>
    <w:p w:rsidR="00924136" w:rsidRDefault="00924136" w:rsidP="00C34B50">
      <w:pPr>
        <w:pStyle w:val="NoSpacing"/>
      </w:pPr>
    </w:p>
    <w:p w:rsidR="00924136" w:rsidRDefault="00924136" w:rsidP="00C34B50">
      <w:pPr>
        <w:pStyle w:val="NoSpacing"/>
      </w:pPr>
    </w:p>
    <w:p w:rsidR="00F62559" w:rsidRDefault="00F62559" w:rsidP="00C34B50">
      <w:pPr>
        <w:pStyle w:val="NoSpacing"/>
      </w:pPr>
    </w:p>
    <w:p w:rsidR="00C9660F" w:rsidRDefault="00477BC8" w:rsidP="00C9660F">
      <w:pPr>
        <w:pStyle w:val="NoSpacing"/>
        <w:rPr>
          <w:b/>
          <w:sz w:val="32"/>
          <w:szCs w:val="32"/>
        </w:rPr>
      </w:pPr>
      <w:r>
        <w:rPr>
          <w:b/>
          <w:sz w:val="32"/>
          <w:szCs w:val="32"/>
        </w:rPr>
        <w:lastRenderedPageBreak/>
        <w:t>Accounting of Student Equity Funding</w:t>
      </w:r>
    </w:p>
    <w:p w:rsidR="008858C0" w:rsidRDefault="008858C0" w:rsidP="00C9660F">
      <w:pPr>
        <w:pStyle w:val="NoSpacing"/>
        <w:rPr>
          <w:b/>
          <w:sz w:val="32"/>
          <w:szCs w:val="32"/>
        </w:rPr>
      </w:pPr>
    </w:p>
    <w:p w:rsidR="008858C0" w:rsidRPr="008F3225" w:rsidRDefault="008858C0" w:rsidP="00C9660F">
      <w:pPr>
        <w:pStyle w:val="NoSpacing"/>
        <w:rPr>
          <w:b/>
          <w:sz w:val="24"/>
          <w:szCs w:val="24"/>
        </w:rPr>
      </w:pPr>
      <w:r w:rsidRPr="008F3225">
        <w:rPr>
          <w:b/>
          <w:sz w:val="24"/>
          <w:szCs w:val="24"/>
        </w:rPr>
        <w:t>Fiscal Year 2014-2015</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425"/>
        <w:gridCol w:w="1329"/>
        <w:gridCol w:w="1329"/>
        <w:gridCol w:w="1330"/>
        <w:gridCol w:w="1329"/>
        <w:gridCol w:w="1330"/>
        <w:gridCol w:w="1329"/>
        <w:gridCol w:w="1330"/>
        <w:gridCol w:w="1329"/>
        <w:gridCol w:w="1330"/>
      </w:tblGrid>
      <w:tr w:rsidR="00C9660F" w:rsidTr="00992986">
        <w:trPr>
          <w:cantSplit/>
          <w:trHeight w:val="1673"/>
        </w:trPr>
        <w:tc>
          <w:tcPr>
            <w:tcW w:w="2425" w:type="dxa"/>
            <w:shd w:val="clear" w:color="auto" w:fill="8EAADB" w:themeFill="accent5" w:themeFillTint="99"/>
            <w:vAlign w:val="center"/>
          </w:tcPr>
          <w:p w:rsidR="00C9660F" w:rsidRPr="00C268E4" w:rsidRDefault="00C9660F" w:rsidP="00F71AA2">
            <w:pPr>
              <w:pStyle w:val="NoSpacing"/>
              <w:rPr>
                <w:b/>
                <w:sz w:val="24"/>
                <w:szCs w:val="24"/>
              </w:rPr>
            </w:pPr>
            <w:r w:rsidRPr="00C268E4">
              <w:rPr>
                <w:b/>
                <w:sz w:val="24"/>
                <w:szCs w:val="24"/>
              </w:rPr>
              <w:t>Object Code &amp; Classification</w:t>
            </w:r>
          </w:p>
        </w:tc>
        <w:tc>
          <w:tcPr>
            <w:tcW w:w="1329"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Outreach</w:t>
            </w:r>
          </w:p>
        </w:tc>
        <w:tc>
          <w:tcPr>
            <w:tcW w:w="1329"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 xml:space="preserve">Student Services &amp; </w:t>
            </w:r>
            <w:proofErr w:type="spellStart"/>
            <w:r w:rsidRPr="00C268E4">
              <w:rPr>
                <w:b/>
                <w:sz w:val="24"/>
                <w:szCs w:val="24"/>
              </w:rPr>
              <w:t>Categoricals</w:t>
            </w:r>
            <w:proofErr w:type="spellEnd"/>
          </w:p>
        </w:tc>
        <w:tc>
          <w:tcPr>
            <w:tcW w:w="1330"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Research &amp; Evaluation</w:t>
            </w:r>
          </w:p>
        </w:tc>
        <w:tc>
          <w:tcPr>
            <w:tcW w:w="1329"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Student Equity Coordination &amp; Planning</w:t>
            </w:r>
          </w:p>
        </w:tc>
        <w:tc>
          <w:tcPr>
            <w:tcW w:w="1330"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Curriculum / Course Dev &amp; Adaptation</w:t>
            </w:r>
          </w:p>
        </w:tc>
        <w:tc>
          <w:tcPr>
            <w:tcW w:w="1329"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Professional Development</w:t>
            </w:r>
          </w:p>
        </w:tc>
        <w:tc>
          <w:tcPr>
            <w:tcW w:w="1330"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Instructional Support</w:t>
            </w:r>
          </w:p>
        </w:tc>
        <w:tc>
          <w:tcPr>
            <w:tcW w:w="1329" w:type="dxa"/>
            <w:shd w:val="clear" w:color="auto" w:fill="8EAADB" w:themeFill="accent5" w:themeFillTint="99"/>
            <w:textDirection w:val="btLr"/>
            <w:vAlign w:val="center"/>
          </w:tcPr>
          <w:p w:rsidR="00C9660F" w:rsidRPr="00C268E4" w:rsidRDefault="00C9660F" w:rsidP="00F71AA2">
            <w:pPr>
              <w:pStyle w:val="NoSpacing"/>
              <w:ind w:left="113" w:right="113"/>
              <w:rPr>
                <w:b/>
                <w:sz w:val="24"/>
                <w:szCs w:val="24"/>
              </w:rPr>
            </w:pPr>
            <w:r w:rsidRPr="00C268E4">
              <w:rPr>
                <w:b/>
                <w:sz w:val="24"/>
                <w:szCs w:val="24"/>
              </w:rPr>
              <w:t>Direct Student Support</w:t>
            </w:r>
          </w:p>
        </w:tc>
        <w:tc>
          <w:tcPr>
            <w:tcW w:w="1330" w:type="dxa"/>
            <w:shd w:val="clear" w:color="auto" w:fill="1F3864" w:themeFill="accent5" w:themeFillShade="80"/>
            <w:vAlign w:val="center"/>
          </w:tcPr>
          <w:p w:rsidR="00C9660F" w:rsidRPr="00C268E4" w:rsidRDefault="00C9660F" w:rsidP="00F71AA2">
            <w:pPr>
              <w:pStyle w:val="NoSpacing"/>
              <w:rPr>
                <w:b/>
                <w:sz w:val="24"/>
                <w:szCs w:val="24"/>
              </w:rPr>
            </w:pPr>
            <w:r w:rsidRPr="00C268E4">
              <w:rPr>
                <w:b/>
                <w:sz w:val="24"/>
                <w:szCs w:val="24"/>
              </w:rPr>
              <w:t>Total</w:t>
            </w:r>
          </w:p>
        </w:tc>
      </w:tr>
      <w:tr w:rsidR="00C9660F" w:rsidTr="008F3225">
        <w:trPr>
          <w:cantSplit/>
          <w:trHeight w:val="868"/>
        </w:trPr>
        <w:tc>
          <w:tcPr>
            <w:tcW w:w="2425" w:type="dxa"/>
            <w:vAlign w:val="center"/>
          </w:tcPr>
          <w:p w:rsidR="00C9660F" w:rsidRDefault="00C9660F" w:rsidP="00F71AA2">
            <w:pPr>
              <w:pStyle w:val="NoSpacing"/>
            </w:pPr>
            <w:r>
              <w:t>1000</w:t>
            </w:r>
          </w:p>
          <w:p w:rsidR="00C9660F" w:rsidRDefault="00C9660F" w:rsidP="00F71AA2">
            <w:pPr>
              <w:pStyle w:val="NoSpacing"/>
            </w:pPr>
            <w:r>
              <w:t>Academic Salaries</w:t>
            </w:r>
          </w:p>
        </w:tc>
        <w:tc>
          <w:tcPr>
            <w:tcW w:w="1329"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r>
              <w:t>$31,686</w:t>
            </w:r>
          </w:p>
        </w:tc>
        <w:tc>
          <w:tcPr>
            <w:tcW w:w="1329" w:type="dxa"/>
            <w:vAlign w:val="center"/>
          </w:tcPr>
          <w:p w:rsidR="00C9660F" w:rsidRDefault="00C9660F" w:rsidP="00F71AA2">
            <w:pPr>
              <w:pStyle w:val="NoSpacing"/>
              <w:jc w:val="right"/>
            </w:pPr>
            <w:r>
              <w:t>$34,157</w:t>
            </w:r>
          </w:p>
        </w:tc>
        <w:tc>
          <w:tcPr>
            <w:tcW w:w="1330" w:type="dxa"/>
            <w:shd w:val="clear" w:color="auto" w:fill="1F3864" w:themeFill="accent5" w:themeFillShade="80"/>
            <w:vAlign w:val="center"/>
          </w:tcPr>
          <w:p w:rsidR="00C9660F" w:rsidRPr="00C268E4" w:rsidRDefault="00C9660F" w:rsidP="00F71AA2">
            <w:pPr>
              <w:pStyle w:val="NoSpacing"/>
              <w:jc w:val="right"/>
              <w:rPr>
                <w:b/>
                <w:sz w:val="24"/>
                <w:szCs w:val="24"/>
              </w:rPr>
            </w:pPr>
            <w:r>
              <w:rPr>
                <w:b/>
                <w:sz w:val="24"/>
                <w:szCs w:val="24"/>
              </w:rPr>
              <w:t>$65,843</w:t>
            </w:r>
          </w:p>
        </w:tc>
      </w:tr>
      <w:tr w:rsidR="00C9660F" w:rsidTr="008F3225">
        <w:trPr>
          <w:cantSplit/>
          <w:trHeight w:val="868"/>
        </w:trPr>
        <w:tc>
          <w:tcPr>
            <w:tcW w:w="2425" w:type="dxa"/>
            <w:vAlign w:val="center"/>
          </w:tcPr>
          <w:p w:rsidR="00C9660F" w:rsidRDefault="00C9660F" w:rsidP="00F71AA2">
            <w:pPr>
              <w:pStyle w:val="NoSpacing"/>
            </w:pPr>
            <w:r>
              <w:t xml:space="preserve">2000 </w:t>
            </w:r>
          </w:p>
          <w:p w:rsidR="00C9660F" w:rsidRDefault="00C9660F" w:rsidP="00F71AA2">
            <w:pPr>
              <w:pStyle w:val="NoSpacing"/>
            </w:pPr>
            <w:r>
              <w:t>Classified and Other Nonacademic Salaries</w:t>
            </w:r>
          </w:p>
        </w:tc>
        <w:tc>
          <w:tcPr>
            <w:tcW w:w="1329" w:type="dxa"/>
            <w:vAlign w:val="center"/>
          </w:tcPr>
          <w:p w:rsidR="00C9660F" w:rsidRDefault="00C9660F" w:rsidP="00F71AA2">
            <w:pPr>
              <w:pStyle w:val="NoSpacing"/>
              <w:jc w:val="right"/>
            </w:pPr>
            <w:r>
              <w:t>$74,638</w:t>
            </w: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$69,814</w:t>
            </w: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$63,191</w:t>
            </w:r>
          </w:p>
        </w:tc>
        <w:tc>
          <w:tcPr>
            <w:tcW w:w="1330" w:type="dxa"/>
            <w:shd w:val="clear" w:color="auto" w:fill="1F3864" w:themeFill="accent5" w:themeFillShade="80"/>
            <w:vAlign w:val="center"/>
          </w:tcPr>
          <w:p w:rsidR="00C9660F" w:rsidRPr="00C268E4" w:rsidRDefault="00C9660F" w:rsidP="00F71AA2">
            <w:pPr>
              <w:pStyle w:val="NoSpacing"/>
              <w:jc w:val="right"/>
              <w:rPr>
                <w:b/>
                <w:sz w:val="24"/>
                <w:szCs w:val="24"/>
              </w:rPr>
            </w:pPr>
            <w:r>
              <w:rPr>
                <w:b/>
                <w:sz w:val="24"/>
                <w:szCs w:val="24"/>
              </w:rPr>
              <w:t>$206,083</w:t>
            </w:r>
          </w:p>
        </w:tc>
      </w:tr>
      <w:tr w:rsidR="00C9660F" w:rsidTr="008F3225">
        <w:trPr>
          <w:cantSplit/>
          <w:trHeight w:val="868"/>
        </w:trPr>
        <w:tc>
          <w:tcPr>
            <w:tcW w:w="2425" w:type="dxa"/>
            <w:vAlign w:val="center"/>
          </w:tcPr>
          <w:p w:rsidR="00C9660F" w:rsidRDefault="00C9660F" w:rsidP="00F71AA2">
            <w:pPr>
              <w:pStyle w:val="NoSpacing"/>
            </w:pPr>
            <w:r>
              <w:t>3000</w:t>
            </w:r>
          </w:p>
          <w:p w:rsidR="00C9660F" w:rsidRDefault="00C9660F" w:rsidP="00F71AA2">
            <w:pPr>
              <w:pStyle w:val="NoSpacing"/>
            </w:pPr>
            <w:r>
              <w:t>Employee Benefits</w:t>
            </w:r>
          </w:p>
        </w:tc>
        <w:tc>
          <w:tcPr>
            <w:tcW w:w="1329" w:type="dxa"/>
            <w:vAlign w:val="center"/>
          </w:tcPr>
          <w:p w:rsidR="00C9660F" w:rsidRDefault="00C9660F" w:rsidP="00F71AA2">
            <w:pPr>
              <w:pStyle w:val="NoSpacing"/>
              <w:jc w:val="right"/>
            </w:pPr>
            <w:r>
              <w:t>$31,289</w:t>
            </w: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$28,984</w:t>
            </w: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r>
              <w:t>$3,823</w:t>
            </w:r>
          </w:p>
        </w:tc>
        <w:tc>
          <w:tcPr>
            <w:tcW w:w="1329" w:type="dxa"/>
            <w:vAlign w:val="center"/>
          </w:tcPr>
          <w:p w:rsidR="00C9660F" w:rsidRDefault="00C9660F" w:rsidP="00F71AA2">
            <w:pPr>
              <w:pStyle w:val="NoSpacing"/>
              <w:jc w:val="right"/>
            </w:pPr>
            <w:r>
              <w:t>$10,090</w:t>
            </w:r>
          </w:p>
        </w:tc>
        <w:tc>
          <w:tcPr>
            <w:tcW w:w="1330" w:type="dxa"/>
            <w:shd w:val="clear" w:color="auto" w:fill="1F3864" w:themeFill="accent5" w:themeFillShade="80"/>
            <w:vAlign w:val="center"/>
          </w:tcPr>
          <w:p w:rsidR="00C9660F" w:rsidRPr="00C268E4" w:rsidRDefault="00C9660F" w:rsidP="00F71AA2">
            <w:pPr>
              <w:pStyle w:val="NoSpacing"/>
              <w:jc w:val="right"/>
              <w:rPr>
                <w:b/>
                <w:sz w:val="24"/>
                <w:szCs w:val="24"/>
              </w:rPr>
            </w:pPr>
            <w:r>
              <w:rPr>
                <w:b/>
                <w:sz w:val="24"/>
                <w:szCs w:val="24"/>
              </w:rPr>
              <w:t>$74,186</w:t>
            </w:r>
          </w:p>
        </w:tc>
      </w:tr>
      <w:tr w:rsidR="00C9660F" w:rsidTr="008F3225">
        <w:trPr>
          <w:cantSplit/>
          <w:trHeight w:val="868"/>
        </w:trPr>
        <w:tc>
          <w:tcPr>
            <w:tcW w:w="2425" w:type="dxa"/>
            <w:vAlign w:val="center"/>
          </w:tcPr>
          <w:p w:rsidR="00C9660F" w:rsidRDefault="00C9660F" w:rsidP="00F71AA2">
            <w:pPr>
              <w:pStyle w:val="NoSpacing"/>
            </w:pPr>
            <w:r>
              <w:t>4000</w:t>
            </w:r>
          </w:p>
          <w:p w:rsidR="00C9660F" w:rsidRDefault="00C9660F" w:rsidP="00F71AA2">
            <w:pPr>
              <w:pStyle w:val="NoSpacing"/>
            </w:pPr>
            <w:r>
              <w:t>Supplies &amp; Materials</w:t>
            </w:r>
          </w:p>
        </w:tc>
        <w:tc>
          <w:tcPr>
            <w:tcW w:w="1329" w:type="dxa"/>
            <w:vAlign w:val="center"/>
          </w:tcPr>
          <w:p w:rsidR="00C9660F" w:rsidRDefault="00C9660F" w:rsidP="00F71AA2">
            <w:pPr>
              <w:pStyle w:val="NoSpacing"/>
              <w:jc w:val="right"/>
            </w:pPr>
            <w:r>
              <w:t>$12,121</w:t>
            </w: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$726</w:t>
            </w: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$21,361</w:t>
            </w:r>
          </w:p>
        </w:tc>
        <w:tc>
          <w:tcPr>
            <w:tcW w:w="1330" w:type="dxa"/>
            <w:shd w:val="clear" w:color="auto" w:fill="1F3864" w:themeFill="accent5" w:themeFillShade="80"/>
            <w:vAlign w:val="center"/>
          </w:tcPr>
          <w:p w:rsidR="00C9660F" w:rsidRPr="00C268E4" w:rsidRDefault="00C9660F" w:rsidP="00F71AA2">
            <w:pPr>
              <w:pStyle w:val="NoSpacing"/>
              <w:jc w:val="right"/>
              <w:rPr>
                <w:b/>
                <w:sz w:val="24"/>
                <w:szCs w:val="24"/>
              </w:rPr>
            </w:pPr>
            <w:r>
              <w:rPr>
                <w:b/>
                <w:sz w:val="24"/>
                <w:szCs w:val="24"/>
              </w:rPr>
              <w:t>$34,208</w:t>
            </w:r>
          </w:p>
        </w:tc>
      </w:tr>
      <w:tr w:rsidR="00C9660F" w:rsidTr="008F3225">
        <w:trPr>
          <w:cantSplit/>
          <w:trHeight w:val="868"/>
        </w:trPr>
        <w:tc>
          <w:tcPr>
            <w:tcW w:w="2425" w:type="dxa"/>
            <w:vAlign w:val="center"/>
          </w:tcPr>
          <w:p w:rsidR="00C9660F" w:rsidRDefault="00C9660F" w:rsidP="00F71AA2">
            <w:pPr>
              <w:pStyle w:val="NoSpacing"/>
            </w:pPr>
            <w:r>
              <w:t>5000</w:t>
            </w:r>
          </w:p>
          <w:p w:rsidR="00C9660F" w:rsidRDefault="00C9660F" w:rsidP="00F71AA2">
            <w:pPr>
              <w:pStyle w:val="NoSpacing"/>
            </w:pPr>
            <w:r>
              <w:t>Other Operating Expenses and Services</w:t>
            </w:r>
          </w:p>
        </w:tc>
        <w:tc>
          <w:tcPr>
            <w:tcW w:w="1329" w:type="dxa"/>
            <w:vAlign w:val="center"/>
          </w:tcPr>
          <w:p w:rsidR="00C9660F" w:rsidRDefault="00C9660F" w:rsidP="00F71AA2">
            <w:pPr>
              <w:pStyle w:val="NoSpacing"/>
              <w:jc w:val="right"/>
            </w:pPr>
            <w:r>
              <w:t>$6,855</w:t>
            </w: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r>
              <w:t>$23,244</w:t>
            </w: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$23,287</w:t>
            </w: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r>
              <w:t>$3,351</w:t>
            </w:r>
          </w:p>
        </w:tc>
        <w:tc>
          <w:tcPr>
            <w:tcW w:w="1330" w:type="dxa"/>
            <w:shd w:val="clear" w:color="auto" w:fill="1F3864" w:themeFill="accent5" w:themeFillShade="80"/>
            <w:vAlign w:val="center"/>
          </w:tcPr>
          <w:p w:rsidR="00C9660F" w:rsidRDefault="00C9660F" w:rsidP="00F71AA2">
            <w:pPr>
              <w:pStyle w:val="NoSpacing"/>
              <w:jc w:val="right"/>
              <w:rPr>
                <w:b/>
                <w:sz w:val="24"/>
                <w:szCs w:val="24"/>
              </w:rPr>
            </w:pPr>
            <w:r>
              <w:rPr>
                <w:b/>
                <w:sz w:val="24"/>
                <w:szCs w:val="24"/>
              </w:rPr>
              <w:t>$56,737</w:t>
            </w:r>
          </w:p>
        </w:tc>
      </w:tr>
      <w:tr w:rsidR="00C9660F" w:rsidTr="008F3225">
        <w:trPr>
          <w:cantSplit/>
          <w:trHeight w:val="868"/>
        </w:trPr>
        <w:tc>
          <w:tcPr>
            <w:tcW w:w="2425" w:type="dxa"/>
            <w:vAlign w:val="center"/>
          </w:tcPr>
          <w:p w:rsidR="00C9660F" w:rsidRDefault="00C9660F" w:rsidP="00F71AA2">
            <w:pPr>
              <w:pStyle w:val="NoSpacing"/>
            </w:pPr>
            <w:r>
              <w:t>6000</w:t>
            </w:r>
          </w:p>
          <w:p w:rsidR="00C9660F" w:rsidRDefault="00C9660F" w:rsidP="00F71AA2">
            <w:pPr>
              <w:pStyle w:val="NoSpacing"/>
            </w:pPr>
            <w:r>
              <w:t>Technology Equipment</w:t>
            </w:r>
          </w:p>
        </w:tc>
        <w:tc>
          <w:tcPr>
            <w:tcW w:w="1329"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shd w:val="clear" w:color="auto" w:fill="1F3864" w:themeFill="accent5" w:themeFillShade="80"/>
            <w:vAlign w:val="center"/>
          </w:tcPr>
          <w:p w:rsidR="00C9660F" w:rsidRDefault="0015674A" w:rsidP="00F71AA2">
            <w:pPr>
              <w:pStyle w:val="NoSpacing"/>
              <w:jc w:val="right"/>
              <w:rPr>
                <w:b/>
                <w:sz w:val="24"/>
                <w:szCs w:val="24"/>
              </w:rPr>
            </w:pPr>
            <w:r>
              <w:rPr>
                <w:b/>
                <w:sz w:val="24"/>
                <w:szCs w:val="24"/>
              </w:rPr>
              <w:t>$0</w:t>
            </w:r>
          </w:p>
        </w:tc>
      </w:tr>
      <w:tr w:rsidR="00C9660F" w:rsidTr="008F3225">
        <w:trPr>
          <w:cantSplit/>
          <w:trHeight w:val="868"/>
        </w:trPr>
        <w:tc>
          <w:tcPr>
            <w:tcW w:w="2425" w:type="dxa"/>
            <w:vAlign w:val="center"/>
          </w:tcPr>
          <w:p w:rsidR="00C9660F" w:rsidRDefault="00C9660F" w:rsidP="00F71AA2">
            <w:pPr>
              <w:pStyle w:val="NoSpacing"/>
            </w:pPr>
            <w:r>
              <w:t>7000</w:t>
            </w:r>
          </w:p>
          <w:p w:rsidR="00C9660F" w:rsidRDefault="00C9660F" w:rsidP="00F71AA2">
            <w:pPr>
              <w:pStyle w:val="NoSpacing"/>
            </w:pPr>
            <w:r>
              <w:t>Other Outgo</w:t>
            </w:r>
          </w:p>
        </w:tc>
        <w:tc>
          <w:tcPr>
            <w:tcW w:w="1329"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vAlign w:val="center"/>
          </w:tcPr>
          <w:p w:rsidR="00C9660F" w:rsidRDefault="00C9660F" w:rsidP="00F71AA2">
            <w:pPr>
              <w:pStyle w:val="NoSpacing"/>
              <w:jc w:val="right"/>
            </w:pPr>
          </w:p>
        </w:tc>
        <w:tc>
          <w:tcPr>
            <w:tcW w:w="1329" w:type="dxa"/>
            <w:vAlign w:val="center"/>
          </w:tcPr>
          <w:p w:rsidR="00C9660F" w:rsidRDefault="00C9660F" w:rsidP="00F71AA2">
            <w:pPr>
              <w:pStyle w:val="NoSpacing"/>
              <w:jc w:val="right"/>
            </w:pPr>
          </w:p>
        </w:tc>
        <w:tc>
          <w:tcPr>
            <w:tcW w:w="1330" w:type="dxa"/>
            <w:shd w:val="clear" w:color="auto" w:fill="1F3864" w:themeFill="accent5" w:themeFillShade="80"/>
            <w:vAlign w:val="center"/>
          </w:tcPr>
          <w:p w:rsidR="00C9660F" w:rsidRDefault="00C9660F" w:rsidP="00F71AA2">
            <w:pPr>
              <w:pStyle w:val="NoSpacing"/>
              <w:jc w:val="right"/>
              <w:rPr>
                <w:b/>
                <w:sz w:val="24"/>
                <w:szCs w:val="24"/>
              </w:rPr>
            </w:pPr>
            <w:r>
              <w:rPr>
                <w:b/>
                <w:sz w:val="24"/>
                <w:szCs w:val="24"/>
              </w:rPr>
              <w:t>$0</w:t>
            </w:r>
          </w:p>
        </w:tc>
      </w:tr>
      <w:tr w:rsidR="00C9660F" w:rsidTr="008F3225">
        <w:trPr>
          <w:cantSplit/>
          <w:trHeight w:val="868"/>
        </w:trPr>
        <w:tc>
          <w:tcPr>
            <w:tcW w:w="2425" w:type="dxa"/>
            <w:vAlign w:val="center"/>
          </w:tcPr>
          <w:p w:rsidR="00C9660F" w:rsidRPr="00582758" w:rsidRDefault="00C9660F" w:rsidP="00F71AA2">
            <w:pPr>
              <w:pStyle w:val="NoSpacing"/>
              <w:rPr>
                <w:b/>
              </w:rPr>
            </w:pPr>
            <w:r w:rsidRPr="00582758">
              <w:rPr>
                <w:b/>
              </w:rPr>
              <w:t>GRAND TOTAL</w:t>
            </w:r>
          </w:p>
        </w:tc>
        <w:tc>
          <w:tcPr>
            <w:tcW w:w="1329" w:type="dxa"/>
            <w:vAlign w:val="center"/>
          </w:tcPr>
          <w:p w:rsidR="00C9660F" w:rsidRPr="00582758" w:rsidRDefault="0015674A" w:rsidP="00F71AA2">
            <w:pPr>
              <w:pStyle w:val="NoSpacing"/>
              <w:jc w:val="right"/>
              <w:rPr>
                <w:b/>
              </w:rPr>
            </w:pPr>
            <w:r>
              <w:rPr>
                <w:b/>
              </w:rPr>
              <w:t>$124,903</w:t>
            </w:r>
          </w:p>
        </w:tc>
        <w:tc>
          <w:tcPr>
            <w:tcW w:w="1329" w:type="dxa"/>
            <w:vAlign w:val="center"/>
          </w:tcPr>
          <w:p w:rsidR="00C9660F" w:rsidRPr="00582758" w:rsidRDefault="0015674A" w:rsidP="00F71AA2">
            <w:pPr>
              <w:pStyle w:val="NoSpacing"/>
              <w:jc w:val="right"/>
              <w:rPr>
                <w:b/>
              </w:rPr>
            </w:pPr>
            <w:r>
              <w:rPr>
                <w:b/>
              </w:rPr>
              <w:t>$0</w:t>
            </w:r>
          </w:p>
        </w:tc>
        <w:tc>
          <w:tcPr>
            <w:tcW w:w="1330" w:type="dxa"/>
            <w:vAlign w:val="center"/>
          </w:tcPr>
          <w:p w:rsidR="00C9660F" w:rsidRPr="00582758" w:rsidRDefault="0015674A" w:rsidP="00F71AA2">
            <w:pPr>
              <w:pStyle w:val="NoSpacing"/>
              <w:jc w:val="right"/>
              <w:rPr>
                <w:b/>
              </w:rPr>
            </w:pPr>
            <w:r>
              <w:rPr>
                <w:b/>
              </w:rPr>
              <w:t>$23,244</w:t>
            </w:r>
          </w:p>
        </w:tc>
        <w:tc>
          <w:tcPr>
            <w:tcW w:w="1329" w:type="dxa"/>
            <w:vAlign w:val="center"/>
          </w:tcPr>
          <w:p w:rsidR="00C9660F" w:rsidRPr="00582758" w:rsidRDefault="0015674A" w:rsidP="00F71AA2">
            <w:pPr>
              <w:pStyle w:val="NoSpacing"/>
              <w:jc w:val="right"/>
              <w:rPr>
                <w:b/>
              </w:rPr>
            </w:pPr>
            <w:r>
              <w:rPr>
                <w:b/>
              </w:rPr>
              <w:t>$98,798</w:t>
            </w:r>
          </w:p>
        </w:tc>
        <w:tc>
          <w:tcPr>
            <w:tcW w:w="1330" w:type="dxa"/>
            <w:vAlign w:val="center"/>
          </w:tcPr>
          <w:p w:rsidR="00C9660F" w:rsidRPr="00582758" w:rsidRDefault="00C9660F" w:rsidP="00F71AA2">
            <w:pPr>
              <w:pStyle w:val="NoSpacing"/>
              <w:jc w:val="right"/>
              <w:rPr>
                <w:b/>
              </w:rPr>
            </w:pPr>
            <w:r w:rsidRPr="00582758">
              <w:rPr>
                <w:b/>
              </w:rPr>
              <w:t>$0</w:t>
            </w:r>
          </w:p>
        </w:tc>
        <w:tc>
          <w:tcPr>
            <w:tcW w:w="1329" w:type="dxa"/>
            <w:vAlign w:val="center"/>
          </w:tcPr>
          <w:p w:rsidR="00C9660F" w:rsidRPr="00582758" w:rsidRDefault="0015674A" w:rsidP="00F71AA2">
            <w:pPr>
              <w:pStyle w:val="NoSpacing"/>
              <w:jc w:val="right"/>
              <w:rPr>
                <w:b/>
              </w:rPr>
            </w:pPr>
            <w:r>
              <w:rPr>
                <w:b/>
              </w:rPr>
              <w:t>$24,013</w:t>
            </w:r>
          </w:p>
        </w:tc>
        <w:tc>
          <w:tcPr>
            <w:tcW w:w="1330" w:type="dxa"/>
            <w:vAlign w:val="center"/>
          </w:tcPr>
          <w:p w:rsidR="00C9660F" w:rsidRPr="00582758" w:rsidRDefault="0015674A" w:rsidP="00F71AA2">
            <w:pPr>
              <w:pStyle w:val="NoSpacing"/>
              <w:jc w:val="right"/>
              <w:rPr>
                <w:b/>
              </w:rPr>
            </w:pPr>
            <w:r>
              <w:rPr>
                <w:b/>
              </w:rPr>
              <w:t>$56,870</w:t>
            </w:r>
          </w:p>
        </w:tc>
        <w:tc>
          <w:tcPr>
            <w:tcW w:w="1329" w:type="dxa"/>
            <w:vAlign w:val="center"/>
          </w:tcPr>
          <w:p w:rsidR="00C9660F" w:rsidRPr="00582758" w:rsidRDefault="0015674A" w:rsidP="00F71AA2">
            <w:pPr>
              <w:pStyle w:val="NoSpacing"/>
              <w:jc w:val="right"/>
              <w:rPr>
                <w:b/>
              </w:rPr>
            </w:pPr>
            <w:r>
              <w:rPr>
                <w:b/>
              </w:rPr>
              <w:t>$110,789</w:t>
            </w:r>
          </w:p>
        </w:tc>
        <w:tc>
          <w:tcPr>
            <w:tcW w:w="1330" w:type="dxa"/>
            <w:shd w:val="clear" w:color="auto" w:fill="1F3864" w:themeFill="accent5" w:themeFillShade="80"/>
            <w:vAlign w:val="center"/>
          </w:tcPr>
          <w:p w:rsidR="00C9660F" w:rsidRDefault="0015674A" w:rsidP="00F71AA2">
            <w:pPr>
              <w:pStyle w:val="NoSpacing"/>
              <w:jc w:val="right"/>
              <w:rPr>
                <w:b/>
                <w:sz w:val="24"/>
                <w:szCs w:val="24"/>
              </w:rPr>
            </w:pPr>
            <w:r>
              <w:rPr>
                <w:b/>
                <w:sz w:val="24"/>
                <w:szCs w:val="24"/>
              </w:rPr>
              <w:t>$437,057</w:t>
            </w:r>
          </w:p>
        </w:tc>
      </w:tr>
    </w:tbl>
    <w:p w:rsidR="008F3225" w:rsidRDefault="008F3225" w:rsidP="00C34B50">
      <w:pPr>
        <w:pStyle w:val="NoSpacing"/>
        <w:rPr>
          <w:b/>
        </w:rPr>
      </w:pPr>
    </w:p>
    <w:p w:rsidR="008F3225" w:rsidRDefault="008F3225" w:rsidP="00C34B50">
      <w:pPr>
        <w:pStyle w:val="NoSpacing"/>
        <w:rPr>
          <w:b/>
        </w:rPr>
      </w:pPr>
    </w:p>
    <w:p w:rsidR="00477BC8" w:rsidRDefault="00477BC8">
      <w:pPr>
        <w:rPr>
          <w:b/>
          <w:sz w:val="24"/>
          <w:szCs w:val="24"/>
        </w:rPr>
      </w:pPr>
      <w:r>
        <w:rPr>
          <w:b/>
          <w:sz w:val="24"/>
          <w:szCs w:val="24"/>
        </w:rPr>
        <w:br w:type="page"/>
      </w:r>
    </w:p>
    <w:p w:rsidR="00F62559" w:rsidRPr="008F3225" w:rsidRDefault="00C268E4" w:rsidP="00C34B50">
      <w:pPr>
        <w:pStyle w:val="NoSpacing"/>
        <w:rPr>
          <w:b/>
          <w:sz w:val="24"/>
          <w:szCs w:val="24"/>
        </w:rPr>
      </w:pPr>
      <w:r w:rsidRPr="008F3225">
        <w:rPr>
          <w:b/>
          <w:sz w:val="24"/>
          <w:szCs w:val="24"/>
        </w:rPr>
        <w:lastRenderedPageBreak/>
        <w:t>F</w:t>
      </w:r>
      <w:r w:rsidR="00992986" w:rsidRPr="008F3225">
        <w:rPr>
          <w:b/>
          <w:sz w:val="24"/>
          <w:szCs w:val="24"/>
        </w:rPr>
        <w:t xml:space="preserve">iscal </w:t>
      </w:r>
      <w:r w:rsidRPr="008F3225">
        <w:rPr>
          <w:b/>
          <w:sz w:val="24"/>
          <w:szCs w:val="24"/>
        </w:rPr>
        <w:t>Y</w:t>
      </w:r>
      <w:r w:rsidR="00992986" w:rsidRPr="008F3225">
        <w:rPr>
          <w:b/>
          <w:sz w:val="24"/>
          <w:szCs w:val="24"/>
        </w:rPr>
        <w:t>ear 20</w:t>
      </w:r>
      <w:r w:rsidRPr="008F3225">
        <w:rPr>
          <w:b/>
          <w:sz w:val="24"/>
          <w:szCs w:val="24"/>
        </w:rPr>
        <w:t>15-</w:t>
      </w:r>
      <w:r w:rsidR="00992986" w:rsidRPr="008F3225">
        <w:rPr>
          <w:b/>
          <w:sz w:val="24"/>
          <w:szCs w:val="24"/>
        </w:rPr>
        <w:t>20</w:t>
      </w:r>
      <w:r w:rsidRPr="008F3225">
        <w:rPr>
          <w:b/>
          <w:sz w:val="24"/>
          <w:szCs w:val="24"/>
        </w:rPr>
        <w:t>16</w:t>
      </w:r>
    </w:p>
    <w:tbl>
      <w:tblPr>
        <w:tblStyle w:val="TableGrid"/>
        <w:tblW w:w="143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425"/>
        <w:gridCol w:w="1329"/>
        <w:gridCol w:w="1329"/>
        <w:gridCol w:w="1330"/>
        <w:gridCol w:w="1329"/>
        <w:gridCol w:w="1330"/>
        <w:gridCol w:w="1329"/>
        <w:gridCol w:w="1330"/>
        <w:gridCol w:w="1329"/>
        <w:gridCol w:w="1330"/>
      </w:tblGrid>
      <w:tr w:rsidR="00C268E4" w:rsidTr="00DA19CC">
        <w:trPr>
          <w:cantSplit/>
          <w:trHeight w:val="1673"/>
        </w:trPr>
        <w:tc>
          <w:tcPr>
            <w:tcW w:w="2425" w:type="dxa"/>
            <w:shd w:val="clear" w:color="auto" w:fill="8EAADB" w:themeFill="accent5" w:themeFillTint="99"/>
            <w:vAlign w:val="center"/>
          </w:tcPr>
          <w:p w:rsidR="00C268E4" w:rsidRPr="00C268E4" w:rsidRDefault="00C268E4" w:rsidP="00C268E4">
            <w:pPr>
              <w:pStyle w:val="NoSpacing"/>
              <w:rPr>
                <w:b/>
                <w:sz w:val="24"/>
                <w:szCs w:val="24"/>
              </w:rPr>
            </w:pPr>
            <w:r w:rsidRPr="00C268E4">
              <w:rPr>
                <w:b/>
                <w:sz w:val="24"/>
                <w:szCs w:val="24"/>
              </w:rPr>
              <w:t>Object Code &amp; Classification</w:t>
            </w:r>
          </w:p>
        </w:tc>
        <w:tc>
          <w:tcPr>
            <w:tcW w:w="1329"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Outreach</w:t>
            </w:r>
          </w:p>
        </w:tc>
        <w:tc>
          <w:tcPr>
            <w:tcW w:w="1329"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Student Services &amp; Categoricals</w:t>
            </w:r>
          </w:p>
        </w:tc>
        <w:tc>
          <w:tcPr>
            <w:tcW w:w="1330"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Research &amp; Evaluation</w:t>
            </w:r>
          </w:p>
        </w:tc>
        <w:tc>
          <w:tcPr>
            <w:tcW w:w="1329"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Student Equity Coordination &amp; Planning</w:t>
            </w:r>
          </w:p>
        </w:tc>
        <w:tc>
          <w:tcPr>
            <w:tcW w:w="1330"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Curriculum / Course Dev &amp; Adaptation</w:t>
            </w:r>
          </w:p>
        </w:tc>
        <w:tc>
          <w:tcPr>
            <w:tcW w:w="1329"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Professional Development</w:t>
            </w:r>
          </w:p>
        </w:tc>
        <w:tc>
          <w:tcPr>
            <w:tcW w:w="1330"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Instructional Support</w:t>
            </w:r>
          </w:p>
        </w:tc>
        <w:tc>
          <w:tcPr>
            <w:tcW w:w="1329" w:type="dxa"/>
            <w:shd w:val="clear" w:color="auto" w:fill="8EAADB" w:themeFill="accent5" w:themeFillTint="99"/>
            <w:textDirection w:val="btLr"/>
            <w:vAlign w:val="center"/>
          </w:tcPr>
          <w:p w:rsidR="00C268E4" w:rsidRPr="00C268E4" w:rsidRDefault="00C268E4" w:rsidP="00F62559">
            <w:pPr>
              <w:pStyle w:val="NoSpacing"/>
              <w:ind w:left="113" w:right="113"/>
              <w:rPr>
                <w:b/>
                <w:sz w:val="24"/>
                <w:szCs w:val="24"/>
              </w:rPr>
            </w:pPr>
            <w:r w:rsidRPr="00C268E4">
              <w:rPr>
                <w:b/>
                <w:sz w:val="24"/>
                <w:szCs w:val="24"/>
              </w:rPr>
              <w:t>Direct Student Support</w:t>
            </w:r>
          </w:p>
        </w:tc>
        <w:tc>
          <w:tcPr>
            <w:tcW w:w="1330" w:type="dxa"/>
            <w:shd w:val="clear" w:color="auto" w:fill="1F3864" w:themeFill="accent5" w:themeFillShade="80"/>
            <w:vAlign w:val="center"/>
          </w:tcPr>
          <w:p w:rsidR="00C268E4" w:rsidRPr="00C268E4" w:rsidRDefault="00C268E4" w:rsidP="00C268E4">
            <w:pPr>
              <w:pStyle w:val="NoSpacing"/>
              <w:rPr>
                <w:b/>
                <w:sz w:val="24"/>
                <w:szCs w:val="24"/>
              </w:rPr>
            </w:pPr>
            <w:r w:rsidRPr="00C268E4">
              <w:rPr>
                <w:b/>
                <w:sz w:val="24"/>
                <w:szCs w:val="24"/>
              </w:rPr>
              <w:t>Total</w:t>
            </w:r>
          </w:p>
        </w:tc>
      </w:tr>
      <w:tr w:rsidR="00C268E4" w:rsidTr="00DA19CC">
        <w:trPr>
          <w:cantSplit/>
          <w:trHeight w:val="877"/>
        </w:trPr>
        <w:tc>
          <w:tcPr>
            <w:tcW w:w="2425" w:type="dxa"/>
            <w:vAlign w:val="center"/>
          </w:tcPr>
          <w:p w:rsidR="00C268E4" w:rsidRDefault="00C268E4" w:rsidP="00C34B50">
            <w:pPr>
              <w:pStyle w:val="NoSpacing"/>
            </w:pPr>
            <w:r>
              <w:t>1000</w:t>
            </w:r>
          </w:p>
          <w:p w:rsidR="00C268E4" w:rsidRDefault="00C268E4" w:rsidP="00C268E4">
            <w:pPr>
              <w:pStyle w:val="NoSpacing"/>
            </w:pPr>
            <w:r>
              <w:t>Academic Salaries</w:t>
            </w:r>
          </w:p>
        </w:tc>
        <w:tc>
          <w:tcPr>
            <w:tcW w:w="1329"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r>
              <w:t>$12,005</w:t>
            </w:r>
          </w:p>
        </w:tc>
        <w:tc>
          <w:tcPr>
            <w:tcW w:w="1329" w:type="dxa"/>
            <w:vAlign w:val="center"/>
          </w:tcPr>
          <w:p w:rsidR="00C268E4" w:rsidRDefault="00C268E4" w:rsidP="00C268E4">
            <w:pPr>
              <w:pStyle w:val="NoSpacing"/>
              <w:jc w:val="right"/>
            </w:pPr>
            <w:r>
              <w:t>$42,648</w:t>
            </w:r>
          </w:p>
        </w:tc>
        <w:tc>
          <w:tcPr>
            <w:tcW w:w="1330" w:type="dxa"/>
            <w:shd w:val="clear" w:color="auto" w:fill="1F3864" w:themeFill="accent5" w:themeFillShade="80"/>
            <w:vAlign w:val="center"/>
          </w:tcPr>
          <w:p w:rsidR="00C268E4" w:rsidRPr="00C268E4" w:rsidRDefault="00C268E4" w:rsidP="00C268E4">
            <w:pPr>
              <w:pStyle w:val="NoSpacing"/>
              <w:jc w:val="right"/>
              <w:rPr>
                <w:b/>
                <w:sz w:val="24"/>
                <w:szCs w:val="24"/>
              </w:rPr>
            </w:pPr>
            <w:r w:rsidRPr="00C268E4">
              <w:rPr>
                <w:b/>
                <w:sz w:val="24"/>
                <w:szCs w:val="24"/>
              </w:rPr>
              <w:t>$54,653</w:t>
            </w:r>
          </w:p>
        </w:tc>
      </w:tr>
      <w:tr w:rsidR="00C268E4" w:rsidTr="00DA19CC">
        <w:trPr>
          <w:cantSplit/>
          <w:trHeight w:val="877"/>
        </w:trPr>
        <w:tc>
          <w:tcPr>
            <w:tcW w:w="2425" w:type="dxa"/>
            <w:vAlign w:val="center"/>
          </w:tcPr>
          <w:p w:rsidR="00C268E4" w:rsidRDefault="00C268E4" w:rsidP="00C34B50">
            <w:pPr>
              <w:pStyle w:val="NoSpacing"/>
            </w:pPr>
            <w:r>
              <w:t xml:space="preserve">2000 </w:t>
            </w:r>
          </w:p>
          <w:p w:rsidR="00C268E4" w:rsidRDefault="00C268E4" w:rsidP="00C34B50">
            <w:pPr>
              <w:pStyle w:val="NoSpacing"/>
            </w:pPr>
            <w:r>
              <w:t>Classified and Other Nonacademic Salaries</w:t>
            </w:r>
          </w:p>
        </w:tc>
        <w:tc>
          <w:tcPr>
            <w:tcW w:w="1329" w:type="dxa"/>
            <w:vAlign w:val="center"/>
          </w:tcPr>
          <w:p w:rsidR="00C268E4" w:rsidRDefault="00C268E4" w:rsidP="00C268E4">
            <w:pPr>
              <w:pStyle w:val="NoSpacing"/>
              <w:jc w:val="right"/>
            </w:pPr>
            <w:r>
              <w:t>$164,302</w:t>
            </w: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r>
              <w:t>$230,060</w:t>
            </w: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r>
              <w:t>$67,062</w:t>
            </w:r>
          </w:p>
        </w:tc>
        <w:tc>
          <w:tcPr>
            <w:tcW w:w="1330" w:type="dxa"/>
            <w:shd w:val="clear" w:color="auto" w:fill="1F3864" w:themeFill="accent5" w:themeFillShade="80"/>
            <w:vAlign w:val="center"/>
          </w:tcPr>
          <w:p w:rsidR="00C268E4" w:rsidRPr="00C268E4" w:rsidRDefault="00C268E4" w:rsidP="00C268E4">
            <w:pPr>
              <w:pStyle w:val="NoSpacing"/>
              <w:jc w:val="right"/>
              <w:rPr>
                <w:b/>
                <w:sz w:val="24"/>
                <w:szCs w:val="24"/>
              </w:rPr>
            </w:pPr>
            <w:r w:rsidRPr="00C268E4">
              <w:rPr>
                <w:b/>
                <w:sz w:val="24"/>
                <w:szCs w:val="24"/>
              </w:rPr>
              <w:t>$461,424</w:t>
            </w:r>
          </w:p>
        </w:tc>
      </w:tr>
      <w:tr w:rsidR="00C268E4" w:rsidTr="00DA19CC">
        <w:trPr>
          <w:cantSplit/>
          <w:trHeight w:val="877"/>
        </w:trPr>
        <w:tc>
          <w:tcPr>
            <w:tcW w:w="2425" w:type="dxa"/>
            <w:vAlign w:val="center"/>
          </w:tcPr>
          <w:p w:rsidR="00C268E4" w:rsidRDefault="00C268E4" w:rsidP="00C34B50">
            <w:pPr>
              <w:pStyle w:val="NoSpacing"/>
            </w:pPr>
            <w:r>
              <w:t>3000</w:t>
            </w:r>
          </w:p>
          <w:p w:rsidR="00C268E4" w:rsidRDefault="00C268E4" w:rsidP="00C34B50">
            <w:pPr>
              <w:pStyle w:val="NoSpacing"/>
            </w:pPr>
            <w:r>
              <w:t>Employee Benefits</w:t>
            </w:r>
          </w:p>
        </w:tc>
        <w:tc>
          <w:tcPr>
            <w:tcW w:w="1329" w:type="dxa"/>
            <w:vAlign w:val="center"/>
          </w:tcPr>
          <w:p w:rsidR="00C268E4" w:rsidRDefault="00C268E4" w:rsidP="00C268E4">
            <w:pPr>
              <w:pStyle w:val="NoSpacing"/>
              <w:jc w:val="right"/>
            </w:pPr>
            <w:r>
              <w:t>$49,137</w:t>
            </w: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r>
              <w:t>$117,518</w:t>
            </w: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r>
              <w:t>$10,896</w:t>
            </w:r>
          </w:p>
        </w:tc>
        <w:tc>
          <w:tcPr>
            <w:tcW w:w="1330" w:type="dxa"/>
            <w:shd w:val="clear" w:color="auto" w:fill="1F3864" w:themeFill="accent5" w:themeFillShade="80"/>
            <w:vAlign w:val="center"/>
          </w:tcPr>
          <w:p w:rsidR="00C268E4" w:rsidRPr="00C268E4" w:rsidRDefault="00C268E4" w:rsidP="00C268E4">
            <w:pPr>
              <w:pStyle w:val="NoSpacing"/>
              <w:jc w:val="right"/>
              <w:rPr>
                <w:b/>
                <w:sz w:val="24"/>
                <w:szCs w:val="24"/>
              </w:rPr>
            </w:pPr>
            <w:r w:rsidRPr="00C268E4">
              <w:rPr>
                <w:b/>
                <w:sz w:val="24"/>
                <w:szCs w:val="24"/>
              </w:rPr>
              <w:t>$177,551</w:t>
            </w:r>
          </w:p>
        </w:tc>
      </w:tr>
      <w:tr w:rsidR="00C268E4" w:rsidTr="00DA19CC">
        <w:trPr>
          <w:cantSplit/>
          <w:trHeight w:val="877"/>
        </w:trPr>
        <w:tc>
          <w:tcPr>
            <w:tcW w:w="2425" w:type="dxa"/>
            <w:vAlign w:val="center"/>
          </w:tcPr>
          <w:p w:rsidR="00C268E4" w:rsidRDefault="00C268E4" w:rsidP="00C34B50">
            <w:pPr>
              <w:pStyle w:val="NoSpacing"/>
            </w:pPr>
            <w:r>
              <w:t>4000</w:t>
            </w:r>
          </w:p>
          <w:p w:rsidR="00C268E4" w:rsidRDefault="00C268E4" w:rsidP="00C34B50">
            <w:pPr>
              <w:pStyle w:val="NoSpacing"/>
            </w:pPr>
            <w:r>
              <w:t>Supplies &amp; Materials</w:t>
            </w:r>
          </w:p>
        </w:tc>
        <w:tc>
          <w:tcPr>
            <w:tcW w:w="1329" w:type="dxa"/>
            <w:vAlign w:val="center"/>
          </w:tcPr>
          <w:p w:rsidR="00C268E4" w:rsidRDefault="00C268E4" w:rsidP="00C268E4">
            <w:pPr>
              <w:pStyle w:val="NoSpacing"/>
              <w:jc w:val="right"/>
            </w:pPr>
            <w:r>
              <w:t>$38,866</w:t>
            </w:r>
          </w:p>
        </w:tc>
        <w:tc>
          <w:tcPr>
            <w:tcW w:w="1329" w:type="dxa"/>
            <w:vAlign w:val="center"/>
          </w:tcPr>
          <w:p w:rsidR="00C268E4" w:rsidRDefault="00C268E4" w:rsidP="00C268E4">
            <w:pPr>
              <w:pStyle w:val="NoSpacing"/>
              <w:jc w:val="right"/>
            </w:pPr>
            <w:r>
              <w:t>$19,084</w:t>
            </w:r>
          </w:p>
        </w:tc>
        <w:tc>
          <w:tcPr>
            <w:tcW w:w="1330" w:type="dxa"/>
            <w:vAlign w:val="center"/>
          </w:tcPr>
          <w:p w:rsidR="00C268E4" w:rsidRDefault="00C268E4" w:rsidP="00C268E4">
            <w:pPr>
              <w:pStyle w:val="NoSpacing"/>
              <w:jc w:val="right"/>
            </w:pPr>
            <w:r>
              <w:t>$1,065</w:t>
            </w:r>
          </w:p>
        </w:tc>
        <w:tc>
          <w:tcPr>
            <w:tcW w:w="1329" w:type="dxa"/>
            <w:vAlign w:val="center"/>
          </w:tcPr>
          <w:p w:rsidR="00C268E4" w:rsidRDefault="00C268E4" w:rsidP="00C268E4">
            <w:pPr>
              <w:pStyle w:val="NoSpacing"/>
              <w:jc w:val="right"/>
            </w:pP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r>
              <w:t>$7,678</w:t>
            </w:r>
          </w:p>
        </w:tc>
        <w:tc>
          <w:tcPr>
            <w:tcW w:w="1330" w:type="dxa"/>
            <w:vAlign w:val="center"/>
          </w:tcPr>
          <w:p w:rsidR="00C268E4" w:rsidRDefault="00C268E4" w:rsidP="00C268E4">
            <w:pPr>
              <w:pStyle w:val="NoSpacing"/>
              <w:jc w:val="right"/>
            </w:pPr>
          </w:p>
        </w:tc>
        <w:tc>
          <w:tcPr>
            <w:tcW w:w="1329" w:type="dxa"/>
            <w:vAlign w:val="center"/>
          </w:tcPr>
          <w:p w:rsidR="00C268E4" w:rsidRDefault="00C268E4" w:rsidP="00C268E4">
            <w:pPr>
              <w:pStyle w:val="NoSpacing"/>
              <w:jc w:val="right"/>
            </w:pPr>
            <w:r>
              <w:t>$</w:t>
            </w:r>
            <w:r w:rsidR="008E0FBE">
              <w:t>19,970</w:t>
            </w:r>
          </w:p>
        </w:tc>
        <w:tc>
          <w:tcPr>
            <w:tcW w:w="1330" w:type="dxa"/>
            <w:shd w:val="clear" w:color="auto" w:fill="1F3864" w:themeFill="accent5" w:themeFillShade="80"/>
            <w:vAlign w:val="center"/>
          </w:tcPr>
          <w:p w:rsidR="00C268E4" w:rsidRPr="00C268E4" w:rsidRDefault="008E0FBE" w:rsidP="00C268E4">
            <w:pPr>
              <w:pStyle w:val="NoSpacing"/>
              <w:jc w:val="right"/>
              <w:rPr>
                <w:b/>
                <w:sz w:val="24"/>
                <w:szCs w:val="24"/>
              </w:rPr>
            </w:pPr>
            <w:r>
              <w:rPr>
                <w:b/>
                <w:sz w:val="24"/>
                <w:szCs w:val="24"/>
              </w:rPr>
              <w:t>$86,663</w:t>
            </w:r>
          </w:p>
        </w:tc>
      </w:tr>
      <w:tr w:rsidR="008E0FBE" w:rsidTr="00DA19CC">
        <w:trPr>
          <w:cantSplit/>
          <w:trHeight w:val="877"/>
        </w:trPr>
        <w:tc>
          <w:tcPr>
            <w:tcW w:w="2425" w:type="dxa"/>
            <w:vAlign w:val="center"/>
          </w:tcPr>
          <w:p w:rsidR="008E0FBE" w:rsidRDefault="008E0FBE" w:rsidP="00C34B50">
            <w:pPr>
              <w:pStyle w:val="NoSpacing"/>
            </w:pPr>
            <w:r>
              <w:t>5000</w:t>
            </w:r>
          </w:p>
          <w:p w:rsidR="008E0FBE" w:rsidRDefault="008E0FBE" w:rsidP="00C34B50">
            <w:pPr>
              <w:pStyle w:val="NoSpacing"/>
            </w:pPr>
            <w:r>
              <w:t>Other Operating Expenses and Services</w:t>
            </w:r>
          </w:p>
        </w:tc>
        <w:tc>
          <w:tcPr>
            <w:tcW w:w="1329" w:type="dxa"/>
            <w:vAlign w:val="center"/>
          </w:tcPr>
          <w:p w:rsidR="008E0FBE" w:rsidRDefault="008E0FBE" w:rsidP="00C268E4">
            <w:pPr>
              <w:pStyle w:val="NoSpacing"/>
              <w:jc w:val="right"/>
            </w:pPr>
            <w:r>
              <w:t>$21,929</w:t>
            </w:r>
          </w:p>
        </w:tc>
        <w:tc>
          <w:tcPr>
            <w:tcW w:w="1329" w:type="dxa"/>
            <w:vAlign w:val="center"/>
          </w:tcPr>
          <w:p w:rsidR="008E0FBE" w:rsidRDefault="008E0FBE" w:rsidP="00C268E4">
            <w:pPr>
              <w:pStyle w:val="NoSpacing"/>
              <w:jc w:val="right"/>
            </w:pPr>
          </w:p>
        </w:tc>
        <w:tc>
          <w:tcPr>
            <w:tcW w:w="1330" w:type="dxa"/>
            <w:vAlign w:val="center"/>
          </w:tcPr>
          <w:p w:rsidR="008E0FBE" w:rsidRDefault="008E0FBE" w:rsidP="00C268E4">
            <w:pPr>
              <w:pStyle w:val="NoSpacing"/>
              <w:jc w:val="right"/>
            </w:pPr>
            <w:r>
              <w:t>$45,000</w:t>
            </w:r>
          </w:p>
        </w:tc>
        <w:tc>
          <w:tcPr>
            <w:tcW w:w="1329" w:type="dxa"/>
            <w:vAlign w:val="center"/>
          </w:tcPr>
          <w:p w:rsidR="008E0FBE" w:rsidRDefault="008E0FBE" w:rsidP="00C268E4">
            <w:pPr>
              <w:pStyle w:val="NoSpacing"/>
              <w:jc w:val="right"/>
            </w:pPr>
          </w:p>
        </w:tc>
        <w:tc>
          <w:tcPr>
            <w:tcW w:w="1330" w:type="dxa"/>
            <w:vAlign w:val="center"/>
          </w:tcPr>
          <w:p w:rsidR="008E0FBE" w:rsidRDefault="008E0FBE" w:rsidP="00C268E4">
            <w:pPr>
              <w:pStyle w:val="NoSpacing"/>
              <w:jc w:val="right"/>
            </w:pPr>
          </w:p>
        </w:tc>
        <w:tc>
          <w:tcPr>
            <w:tcW w:w="1329" w:type="dxa"/>
            <w:vAlign w:val="center"/>
          </w:tcPr>
          <w:p w:rsidR="008E0FBE" w:rsidRDefault="00885A75" w:rsidP="00C268E4">
            <w:pPr>
              <w:pStyle w:val="NoSpacing"/>
              <w:jc w:val="right"/>
            </w:pPr>
            <w:r>
              <w:t>$106,185</w:t>
            </w:r>
          </w:p>
        </w:tc>
        <w:tc>
          <w:tcPr>
            <w:tcW w:w="1330" w:type="dxa"/>
            <w:vAlign w:val="center"/>
          </w:tcPr>
          <w:p w:rsidR="008E0FBE" w:rsidRDefault="008E0FBE" w:rsidP="00C268E4">
            <w:pPr>
              <w:pStyle w:val="NoSpacing"/>
              <w:jc w:val="right"/>
            </w:pPr>
          </w:p>
        </w:tc>
        <w:tc>
          <w:tcPr>
            <w:tcW w:w="1329" w:type="dxa"/>
            <w:vAlign w:val="center"/>
          </w:tcPr>
          <w:p w:rsidR="008E0FBE" w:rsidRDefault="00885A75" w:rsidP="00C268E4">
            <w:pPr>
              <w:pStyle w:val="NoSpacing"/>
              <w:jc w:val="right"/>
            </w:pPr>
            <w:r>
              <w:t>$42,564</w:t>
            </w:r>
          </w:p>
        </w:tc>
        <w:tc>
          <w:tcPr>
            <w:tcW w:w="1330" w:type="dxa"/>
            <w:shd w:val="clear" w:color="auto" w:fill="1F3864" w:themeFill="accent5" w:themeFillShade="80"/>
            <w:vAlign w:val="center"/>
          </w:tcPr>
          <w:p w:rsidR="008E0FBE" w:rsidRDefault="00885A75" w:rsidP="00C268E4">
            <w:pPr>
              <w:pStyle w:val="NoSpacing"/>
              <w:jc w:val="right"/>
              <w:rPr>
                <w:b/>
                <w:sz w:val="24"/>
                <w:szCs w:val="24"/>
              </w:rPr>
            </w:pPr>
            <w:r>
              <w:rPr>
                <w:b/>
                <w:sz w:val="24"/>
                <w:szCs w:val="24"/>
              </w:rPr>
              <w:t>$215,678</w:t>
            </w:r>
          </w:p>
        </w:tc>
      </w:tr>
      <w:tr w:rsidR="00885A75" w:rsidTr="00DA19CC">
        <w:trPr>
          <w:cantSplit/>
          <w:trHeight w:val="877"/>
        </w:trPr>
        <w:tc>
          <w:tcPr>
            <w:tcW w:w="2425" w:type="dxa"/>
            <w:vAlign w:val="center"/>
          </w:tcPr>
          <w:p w:rsidR="00885A75" w:rsidRDefault="00885A75" w:rsidP="00C34B50">
            <w:pPr>
              <w:pStyle w:val="NoSpacing"/>
            </w:pPr>
            <w:r>
              <w:t>6000</w:t>
            </w:r>
          </w:p>
          <w:p w:rsidR="00885A75" w:rsidRDefault="00885A75" w:rsidP="00C34B50">
            <w:pPr>
              <w:pStyle w:val="NoSpacing"/>
            </w:pPr>
            <w:r>
              <w:t>Technology Equipment</w:t>
            </w:r>
          </w:p>
        </w:tc>
        <w:tc>
          <w:tcPr>
            <w:tcW w:w="1329"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r>
              <w:t>$4,000</w:t>
            </w:r>
          </w:p>
        </w:tc>
        <w:tc>
          <w:tcPr>
            <w:tcW w:w="1330"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shd w:val="clear" w:color="auto" w:fill="1F3864" w:themeFill="accent5" w:themeFillShade="80"/>
            <w:vAlign w:val="center"/>
          </w:tcPr>
          <w:p w:rsidR="00885A75" w:rsidRDefault="00885A75" w:rsidP="00C268E4">
            <w:pPr>
              <w:pStyle w:val="NoSpacing"/>
              <w:jc w:val="right"/>
              <w:rPr>
                <w:b/>
                <w:sz w:val="24"/>
                <w:szCs w:val="24"/>
              </w:rPr>
            </w:pPr>
            <w:r>
              <w:rPr>
                <w:b/>
                <w:sz w:val="24"/>
                <w:szCs w:val="24"/>
              </w:rPr>
              <w:t>$4,000</w:t>
            </w:r>
          </w:p>
        </w:tc>
      </w:tr>
      <w:tr w:rsidR="00885A75" w:rsidTr="00DA19CC">
        <w:trPr>
          <w:cantSplit/>
          <w:trHeight w:val="877"/>
        </w:trPr>
        <w:tc>
          <w:tcPr>
            <w:tcW w:w="2425" w:type="dxa"/>
            <w:vAlign w:val="center"/>
          </w:tcPr>
          <w:p w:rsidR="00885A75" w:rsidRDefault="00885A75" w:rsidP="00C34B50">
            <w:pPr>
              <w:pStyle w:val="NoSpacing"/>
            </w:pPr>
            <w:r>
              <w:t>7000</w:t>
            </w:r>
          </w:p>
          <w:p w:rsidR="00885A75" w:rsidRDefault="00885A75" w:rsidP="00C34B50">
            <w:pPr>
              <w:pStyle w:val="NoSpacing"/>
            </w:pPr>
            <w:r>
              <w:t>Other Outgo</w:t>
            </w:r>
          </w:p>
        </w:tc>
        <w:tc>
          <w:tcPr>
            <w:tcW w:w="1329"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vAlign w:val="center"/>
          </w:tcPr>
          <w:p w:rsidR="00885A75" w:rsidRDefault="00885A75" w:rsidP="00C268E4">
            <w:pPr>
              <w:pStyle w:val="NoSpacing"/>
              <w:jc w:val="right"/>
            </w:pPr>
          </w:p>
        </w:tc>
        <w:tc>
          <w:tcPr>
            <w:tcW w:w="1329" w:type="dxa"/>
            <w:vAlign w:val="center"/>
          </w:tcPr>
          <w:p w:rsidR="00885A75" w:rsidRDefault="00885A75" w:rsidP="00C268E4">
            <w:pPr>
              <w:pStyle w:val="NoSpacing"/>
              <w:jc w:val="right"/>
            </w:pPr>
          </w:p>
        </w:tc>
        <w:tc>
          <w:tcPr>
            <w:tcW w:w="1330" w:type="dxa"/>
            <w:shd w:val="clear" w:color="auto" w:fill="1F3864" w:themeFill="accent5" w:themeFillShade="80"/>
            <w:vAlign w:val="center"/>
          </w:tcPr>
          <w:p w:rsidR="00885A75" w:rsidRDefault="00885A75" w:rsidP="00C268E4">
            <w:pPr>
              <w:pStyle w:val="NoSpacing"/>
              <w:jc w:val="right"/>
              <w:rPr>
                <w:b/>
                <w:sz w:val="24"/>
                <w:szCs w:val="24"/>
              </w:rPr>
            </w:pPr>
            <w:r>
              <w:rPr>
                <w:b/>
                <w:sz w:val="24"/>
                <w:szCs w:val="24"/>
              </w:rPr>
              <w:t>$0</w:t>
            </w:r>
          </w:p>
        </w:tc>
      </w:tr>
      <w:tr w:rsidR="00885A75" w:rsidTr="00DA19CC">
        <w:trPr>
          <w:cantSplit/>
          <w:trHeight w:val="877"/>
        </w:trPr>
        <w:tc>
          <w:tcPr>
            <w:tcW w:w="2425" w:type="dxa"/>
            <w:vAlign w:val="center"/>
          </w:tcPr>
          <w:p w:rsidR="00885A75" w:rsidRPr="00582758" w:rsidRDefault="00885A75" w:rsidP="00C34B50">
            <w:pPr>
              <w:pStyle w:val="NoSpacing"/>
              <w:rPr>
                <w:b/>
              </w:rPr>
            </w:pPr>
            <w:r w:rsidRPr="00582758">
              <w:rPr>
                <w:b/>
              </w:rPr>
              <w:t>GRAND TOTAL</w:t>
            </w:r>
          </w:p>
        </w:tc>
        <w:tc>
          <w:tcPr>
            <w:tcW w:w="1329" w:type="dxa"/>
            <w:vAlign w:val="center"/>
          </w:tcPr>
          <w:p w:rsidR="00885A75" w:rsidRPr="00582758" w:rsidRDefault="00885A75" w:rsidP="00C268E4">
            <w:pPr>
              <w:pStyle w:val="NoSpacing"/>
              <w:jc w:val="right"/>
              <w:rPr>
                <w:b/>
              </w:rPr>
            </w:pPr>
            <w:r w:rsidRPr="00582758">
              <w:rPr>
                <w:b/>
              </w:rPr>
              <w:t>$274,234</w:t>
            </w:r>
          </w:p>
        </w:tc>
        <w:tc>
          <w:tcPr>
            <w:tcW w:w="1329" w:type="dxa"/>
            <w:vAlign w:val="center"/>
          </w:tcPr>
          <w:p w:rsidR="00885A75" w:rsidRPr="00582758" w:rsidRDefault="00885A75" w:rsidP="00C268E4">
            <w:pPr>
              <w:pStyle w:val="NoSpacing"/>
              <w:jc w:val="right"/>
              <w:rPr>
                <w:b/>
              </w:rPr>
            </w:pPr>
            <w:r w:rsidRPr="00582758">
              <w:rPr>
                <w:b/>
              </w:rPr>
              <w:t>$19,084</w:t>
            </w:r>
          </w:p>
        </w:tc>
        <w:tc>
          <w:tcPr>
            <w:tcW w:w="1330" w:type="dxa"/>
            <w:vAlign w:val="center"/>
          </w:tcPr>
          <w:p w:rsidR="00885A75" w:rsidRPr="00582758" w:rsidRDefault="00885A75" w:rsidP="00C268E4">
            <w:pPr>
              <w:pStyle w:val="NoSpacing"/>
              <w:jc w:val="right"/>
              <w:rPr>
                <w:b/>
              </w:rPr>
            </w:pPr>
            <w:r w:rsidRPr="00582758">
              <w:rPr>
                <w:b/>
              </w:rPr>
              <w:t>$46,065</w:t>
            </w:r>
          </w:p>
        </w:tc>
        <w:tc>
          <w:tcPr>
            <w:tcW w:w="1329" w:type="dxa"/>
            <w:vAlign w:val="center"/>
          </w:tcPr>
          <w:p w:rsidR="00885A75" w:rsidRPr="00582758" w:rsidRDefault="00885A75" w:rsidP="00C268E4">
            <w:pPr>
              <w:pStyle w:val="NoSpacing"/>
              <w:jc w:val="right"/>
              <w:rPr>
                <w:b/>
              </w:rPr>
            </w:pPr>
            <w:r w:rsidRPr="00582758">
              <w:rPr>
                <w:b/>
              </w:rPr>
              <w:t>$351,578</w:t>
            </w:r>
          </w:p>
        </w:tc>
        <w:tc>
          <w:tcPr>
            <w:tcW w:w="1330" w:type="dxa"/>
            <w:vAlign w:val="center"/>
          </w:tcPr>
          <w:p w:rsidR="00885A75" w:rsidRPr="00582758" w:rsidRDefault="00582758" w:rsidP="00C268E4">
            <w:pPr>
              <w:pStyle w:val="NoSpacing"/>
              <w:jc w:val="right"/>
              <w:rPr>
                <w:b/>
              </w:rPr>
            </w:pPr>
            <w:r w:rsidRPr="00582758">
              <w:rPr>
                <w:b/>
              </w:rPr>
              <w:t>$0</w:t>
            </w:r>
          </w:p>
        </w:tc>
        <w:tc>
          <w:tcPr>
            <w:tcW w:w="1329" w:type="dxa"/>
            <w:vAlign w:val="center"/>
          </w:tcPr>
          <w:p w:rsidR="00885A75" w:rsidRPr="00582758" w:rsidRDefault="00885A75" w:rsidP="00C268E4">
            <w:pPr>
              <w:pStyle w:val="NoSpacing"/>
              <w:jc w:val="right"/>
              <w:rPr>
                <w:b/>
              </w:rPr>
            </w:pPr>
            <w:r w:rsidRPr="00582758">
              <w:rPr>
                <w:b/>
              </w:rPr>
              <w:t>$113,863</w:t>
            </w:r>
          </w:p>
        </w:tc>
        <w:tc>
          <w:tcPr>
            <w:tcW w:w="1330" w:type="dxa"/>
            <w:vAlign w:val="center"/>
          </w:tcPr>
          <w:p w:rsidR="00885A75" w:rsidRPr="00582758" w:rsidRDefault="00885A75" w:rsidP="00C268E4">
            <w:pPr>
              <w:pStyle w:val="NoSpacing"/>
              <w:jc w:val="right"/>
              <w:rPr>
                <w:b/>
              </w:rPr>
            </w:pPr>
            <w:r w:rsidRPr="00582758">
              <w:rPr>
                <w:b/>
              </w:rPr>
              <w:t>$12,005</w:t>
            </w:r>
          </w:p>
        </w:tc>
        <w:tc>
          <w:tcPr>
            <w:tcW w:w="1329" w:type="dxa"/>
            <w:vAlign w:val="center"/>
          </w:tcPr>
          <w:p w:rsidR="00885A75" w:rsidRPr="00582758" w:rsidRDefault="00885A75" w:rsidP="00C268E4">
            <w:pPr>
              <w:pStyle w:val="NoSpacing"/>
              <w:jc w:val="right"/>
              <w:rPr>
                <w:b/>
              </w:rPr>
            </w:pPr>
            <w:r w:rsidRPr="00582758">
              <w:rPr>
                <w:b/>
              </w:rPr>
              <w:t>$183,140</w:t>
            </w:r>
          </w:p>
        </w:tc>
        <w:tc>
          <w:tcPr>
            <w:tcW w:w="1330" w:type="dxa"/>
            <w:shd w:val="clear" w:color="auto" w:fill="1F3864" w:themeFill="accent5" w:themeFillShade="80"/>
            <w:vAlign w:val="center"/>
          </w:tcPr>
          <w:p w:rsidR="00885A75" w:rsidRDefault="00885A75" w:rsidP="00C268E4">
            <w:pPr>
              <w:pStyle w:val="NoSpacing"/>
              <w:jc w:val="right"/>
              <w:rPr>
                <w:b/>
                <w:sz w:val="24"/>
                <w:szCs w:val="24"/>
              </w:rPr>
            </w:pPr>
            <w:r>
              <w:rPr>
                <w:b/>
                <w:sz w:val="24"/>
                <w:szCs w:val="24"/>
              </w:rPr>
              <w:t>$999,969</w:t>
            </w:r>
          </w:p>
        </w:tc>
      </w:tr>
    </w:tbl>
    <w:p w:rsidR="00F62559" w:rsidRPr="008F3225" w:rsidRDefault="00DA19CC" w:rsidP="00C34B50">
      <w:pPr>
        <w:pStyle w:val="NoSpacing"/>
        <w:rPr>
          <w:sz w:val="20"/>
          <w:szCs w:val="20"/>
        </w:rPr>
      </w:pPr>
      <w:r>
        <w:rPr>
          <w:i/>
          <w:iCs/>
          <w:sz w:val="20"/>
          <w:szCs w:val="20"/>
        </w:rPr>
        <w:t>*Includes additional monies re-allocated in 2015-16 with expenditures through December 31, 2016.</w:t>
      </w:r>
    </w:p>
    <w:p w:rsidR="008F3225" w:rsidRPr="008F3225" w:rsidRDefault="008F3225" w:rsidP="00C34B50">
      <w:pPr>
        <w:pStyle w:val="NoSpacing"/>
        <w:rPr>
          <w:b/>
          <w:sz w:val="20"/>
          <w:szCs w:val="20"/>
        </w:rPr>
      </w:pPr>
    </w:p>
    <w:p w:rsidR="00477BC8" w:rsidRDefault="00477BC8">
      <w:pPr>
        <w:rPr>
          <w:b/>
          <w:sz w:val="24"/>
          <w:szCs w:val="24"/>
        </w:rPr>
      </w:pPr>
      <w:r>
        <w:rPr>
          <w:b/>
          <w:sz w:val="24"/>
          <w:szCs w:val="24"/>
        </w:rPr>
        <w:br w:type="page"/>
      </w:r>
    </w:p>
    <w:p w:rsidR="00E00CDF" w:rsidRDefault="00992986" w:rsidP="00C34B50">
      <w:pPr>
        <w:pStyle w:val="NoSpacing"/>
        <w:rPr>
          <w:b/>
          <w:sz w:val="24"/>
          <w:szCs w:val="24"/>
        </w:rPr>
      </w:pPr>
      <w:r w:rsidRPr="008F3225">
        <w:rPr>
          <w:b/>
          <w:sz w:val="24"/>
          <w:szCs w:val="24"/>
        </w:rPr>
        <w:lastRenderedPageBreak/>
        <w:t>Fiscal Year 2016-2017</w:t>
      </w:r>
    </w:p>
    <w:tbl>
      <w:tblPr>
        <w:tblStyle w:val="TableGrid"/>
        <w:tblW w:w="1439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425"/>
        <w:gridCol w:w="1329"/>
        <w:gridCol w:w="1329"/>
        <w:gridCol w:w="1330"/>
        <w:gridCol w:w="1329"/>
        <w:gridCol w:w="1330"/>
        <w:gridCol w:w="1329"/>
        <w:gridCol w:w="1330"/>
        <w:gridCol w:w="1329"/>
        <w:gridCol w:w="1330"/>
      </w:tblGrid>
      <w:tr w:rsidR="00477BC8" w:rsidTr="00DA19CC">
        <w:trPr>
          <w:cantSplit/>
          <w:trHeight w:val="1673"/>
        </w:trPr>
        <w:tc>
          <w:tcPr>
            <w:tcW w:w="2425" w:type="dxa"/>
            <w:shd w:val="clear" w:color="auto" w:fill="8EAADB" w:themeFill="accent5" w:themeFillTint="99"/>
            <w:vAlign w:val="center"/>
          </w:tcPr>
          <w:p w:rsidR="00477BC8" w:rsidRPr="00C268E4" w:rsidRDefault="00477BC8" w:rsidP="00621791">
            <w:pPr>
              <w:pStyle w:val="NoSpacing"/>
              <w:rPr>
                <w:b/>
                <w:sz w:val="24"/>
                <w:szCs w:val="24"/>
              </w:rPr>
            </w:pPr>
            <w:r w:rsidRPr="00C268E4">
              <w:rPr>
                <w:b/>
                <w:sz w:val="24"/>
                <w:szCs w:val="24"/>
              </w:rPr>
              <w:t>Object Code &amp; Classification</w:t>
            </w:r>
          </w:p>
        </w:tc>
        <w:tc>
          <w:tcPr>
            <w:tcW w:w="1329"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Outreach</w:t>
            </w:r>
          </w:p>
        </w:tc>
        <w:tc>
          <w:tcPr>
            <w:tcW w:w="1329"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 xml:space="preserve">Student Services &amp; </w:t>
            </w:r>
            <w:proofErr w:type="spellStart"/>
            <w:r w:rsidRPr="00C268E4">
              <w:rPr>
                <w:b/>
                <w:sz w:val="24"/>
                <w:szCs w:val="24"/>
              </w:rPr>
              <w:t>Categoricals</w:t>
            </w:r>
            <w:proofErr w:type="spellEnd"/>
          </w:p>
        </w:tc>
        <w:tc>
          <w:tcPr>
            <w:tcW w:w="1330"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Research &amp; Evaluation</w:t>
            </w:r>
          </w:p>
        </w:tc>
        <w:tc>
          <w:tcPr>
            <w:tcW w:w="1329"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Student Equity Coordination &amp; Planning</w:t>
            </w:r>
          </w:p>
        </w:tc>
        <w:tc>
          <w:tcPr>
            <w:tcW w:w="1330"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Curriculum / Course Dev &amp; Adaptation</w:t>
            </w:r>
          </w:p>
        </w:tc>
        <w:tc>
          <w:tcPr>
            <w:tcW w:w="1329"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Professional Development</w:t>
            </w:r>
          </w:p>
        </w:tc>
        <w:tc>
          <w:tcPr>
            <w:tcW w:w="1330"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Instructional Support</w:t>
            </w:r>
          </w:p>
        </w:tc>
        <w:tc>
          <w:tcPr>
            <w:tcW w:w="1329" w:type="dxa"/>
            <w:shd w:val="clear" w:color="auto" w:fill="8EAADB" w:themeFill="accent5" w:themeFillTint="99"/>
            <w:textDirection w:val="btLr"/>
            <w:vAlign w:val="center"/>
          </w:tcPr>
          <w:p w:rsidR="00477BC8" w:rsidRPr="00C268E4" w:rsidRDefault="00477BC8" w:rsidP="00621791">
            <w:pPr>
              <w:pStyle w:val="NoSpacing"/>
              <w:ind w:left="113" w:right="113"/>
              <w:rPr>
                <w:b/>
                <w:sz w:val="24"/>
                <w:szCs w:val="24"/>
              </w:rPr>
            </w:pPr>
            <w:r w:rsidRPr="00C268E4">
              <w:rPr>
                <w:b/>
                <w:sz w:val="24"/>
                <w:szCs w:val="24"/>
              </w:rPr>
              <w:t>Direct Student Support</w:t>
            </w:r>
          </w:p>
        </w:tc>
        <w:tc>
          <w:tcPr>
            <w:tcW w:w="1330" w:type="dxa"/>
            <w:shd w:val="clear" w:color="auto" w:fill="1F3864" w:themeFill="accent5" w:themeFillShade="80"/>
            <w:vAlign w:val="center"/>
          </w:tcPr>
          <w:p w:rsidR="00477BC8" w:rsidRPr="00C268E4" w:rsidRDefault="00477BC8" w:rsidP="00621791">
            <w:pPr>
              <w:pStyle w:val="NoSpacing"/>
              <w:rPr>
                <w:b/>
                <w:sz w:val="24"/>
                <w:szCs w:val="24"/>
              </w:rPr>
            </w:pPr>
            <w:r w:rsidRPr="00C268E4">
              <w:rPr>
                <w:b/>
                <w:sz w:val="24"/>
                <w:szCs w:val="24"/>
              </w:rPr>
              <w:t>Total</w:t>
            </w:r>
          </w:p>
        </w:tc>
      </w:tr>
      <w:tr w:rsidR="00253925" w:rsidTr="00DA19CC">
        <w:trPr>
          <w:cantSplit/>
          <w:trHeight w:val="877"/>
        </w:trPr>
        <w:tc>
          <w:tcPr>
            <w:tcW w:w="2425" w:type="dxa"/>
            <w:vAlign w:val="center"/>
          </w:tcPr>
          <w:p w:rsidR="00253925" w:rsidRDefault="00253925" w:rsidP="00621791">
            <w:pPr>
              <w:pStyle w:val="NoSpacing"/>
            </w:pPr>
            <w:r>
              <w:t>1000</w:t>
            </w:r>
          </w:p>
          <w:p w:rsidR="00253925" w:rsidRDefault="00253925" w:rsidP="00621791">
            <w:pPr>
              <w:pStyle w:val="NoSpacing"/>
            </w:pPr>
            <w:r>
              <w:t>Academic Salaries</w:t>
            </w:r>
          </w:p>
        </w:tc>
        <w:tc>
          <w:tcPr>
            <w:tcW w:w="1329"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r>
              <w:t>$10,895</w:t>
            </w:r>
          </w:p>
        </w:tc>
        <w:tc>
          <w:tcPr>
            <w:tcW w:w="1329" w:type="dxa"/>
            <w:vAlign w:val="center"/>
          </w:tcPr>
          <w:p w:rsidR="00253925" w:rsidRDefault="00253925" w:rsidP="00B7607F">
            <w:pPr>
              <w:pStyle w:val="NoSpacing"/>
              <w:jc w:val="right"/>
            </w:pPr>
            <w:r>
              <w:t>$58,228</w:t>
            </w:r>
          </w:p>
        </w:tc>
        <w:tc>
          <w:tcPr>
            <w:tcW w:w="1330" w:type="dxa"/>
            <w:shd w:val="clear" w:color="auto" w:fill="1F3864" w:themeFill="accent5" w:themeFillShade="80"/>
            <w:vAlign w:val="center"/>
          </w:tcPr>
          <w:p w:rsidR="00253925" w:rsidRPr="00792081" w:rsidRDefault="00253925" w:rsidP="00B7607F">
            <w:pPr>
              <w:pStyle w:val="NoSpacing"/>
              <w:jc w:val="right"/>
              <w:rPr>
                <w:b/>
                <w:color w:val="FFFFFF" w:themeColor="background1"/>
                <w:sz w:val="24"/>
                <w:szCs w:val="24"/>
              </w:rPr>
            </w:pPr>
            <w:r>
              <w:rPr>
                <w:b/>
                <w:color w:val="FFFFFF" w:themeColor="background1"/>
                <w:sz w:val="24"/>
                <w:szCs w:val="24"/>
              </w:rPr>
              <w:t>$69,123</w:t>
            </w:r>
          </w:p>
        </w:tc>
      </w:tr>
      <w:tr w:rsidR="00253925" w:rsidTr="00DA19CC">
        <w:trPr>
          <w:cantSplit/>
          <w:trHeight w:val="877"/>
        </w:trPr>
        <w:tc>
          <w:tcPr>
            <w:tcW w:w="2425" w:type="dxa"/>
            <w:vAlign w:val="center"/>
          </w:tcPr>
          <w:p w:rsidR="00253925" w:rsidRDefault="00253925" w:rsidP="00621791">
            <w:pPr>
              <w:pStyle w:val="NoSpacing"/>
            </w:pPr>
            <w:r>
              <w:t xml:space="preserve">2000 </w:t>
            </w:r>
          </w:p>
          <w:p w:rsidR="00253925" w:rsidRDefault="00253925" w:rsidP="00621791">
            <w:pPr>
              <w:pStyle w:val="NoSpacing"/>
            </w:pPr>
            <w:r>
              <w:t>Classified and Other Nonacademic Salaries</w:t>
            </w:r>
          </w:p>
        </w:tc>
        <w:tc>
          <w:tcPr>
            <w:tcW w:w="1329" w:type="dxa"/>
            <w:vAlign w:val="center"/>
          </w:tcPr>
          <w:p w:rsidR="00253925" w:rsidRDefault="00253925" w:rsidP="00B7607F">
            <w:pPr>
              <w:pStyle w:val="NoSpacing"/>
              <w:jc w:val="right"/>
            </w:pPr>
            <w:r>
              <w:t>$76,824</w:t>
            </w: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r>
              <w:t>$132,969</w:t>
            </w: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r>
              <w:t>$29,059</w:t>
            </w:r>
          </w:p>
        </w:tc>
        <w:tc>
          <w:tcPr>
            <w:tcW w:w="1329" w:type="dxa"/>
            <w:vAlign w:val="center"/>
          </w:tcPr>
          <w:p w:rsidR="00253925" w:rsidRDefault="00253925" w:rsidP="007033EE">
            <w:pPr>
              <w:pStyle w:val="NoSpacing"/>
              <w:jc w:val="right"/>
            </w:pPr>
            <w:r>
              <w:t>$</w:t>
            </w:r>
            <w:r w:rsidR="007033EE">
              <w:t>204,022</w:t>
            </w:r>
          </w:p>
        </w:tc>
        <w:tc>
          <w:tcPr>
            <w:tcW w:w="1330" w:type="dxa"/>
            <w:shd w:val="clear" w:color="auto" w:fill="1F3864" w:themeFill="accent5" w:themeFillShade="80"/>
            <w:vAlign w:val="center"/>
          </w:tcPr>
          <w:p w:rsidR="00253925" w:rsidRPr="00792081" w:rsidRDefault="00253925" w:rsidP="007033EE">
            <w:pPr>
              <w:pStyle w:val="NoSpacing"/>
              <w:jc w:val="right"/>
              <w:rPr>
                <w:b/>
                <w:color w:val="FFFFFF" w:themeColor="background1"/>
                <w:sz w:val="24"/>
                <w:szCs w:val="24"/>
              </w:rPr>
            </w:pPr>
            <w:r>
              <w:rPr>
                <w:b/>
                <w:color w:val="FFFFFF" w:themeColor="background1"/>
                <w:sz w:val="24"/>
                <w:szCs w:val="24"/>
              </w:rPr>
              <w:t>$</w:t>
            </w:r>
            <w:r w:rsidR="007033EE">
              <w:rPr>
                <w:b/>
                <w:color w:val="FFFFFF" w:themeColor="background1"/>
                <w:sz w:val="24"/>
                <w:szCs w:val="24"/>
              </w:rPr>
              <w:t>442,874</w:t>
            </w:r>
          </w:p>
        </w:tc>
      </w:tr>
      <w:tr w:rsidR="00253925" w:rsidTr="00DA19CC">
        <w:trPr>
          <w:cantSplit/>
          <w:trHeight w:val="877"/>
        </w:trPr>
        <w:tc>
          <w:tcPr>
            <w:tcW w:w="2425" w:type="dxa"/>
            <w:vAlign w:val="center"/>
          </w:tcPr>
          <w:p w:rsidR="00253925" w:rsidRDefault="00253925" w:rsidP="00621791">
            <w:pPr>
              <w:pStyle w:val="NoSpacing"/>
            </w:pPr>
            <w:r>
              <w:t>3000</w:t>
            </w:r>
          </w:p>
          <w:p w:rsidR="00253925" w:rsidRDefault="00253925" w:rsidP="00621791">
            <w:pPr>
              <w:pStyle w:val="NoSpacing"/>
            </w:pPr>
            <w:r>
              <w:t>Employee Benefits</w:t>
            </w:r>
          </w:p>
        </w:tc>
        <w:tc>
          <w:tcPr>
            <w:tcW w:w="1329"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r>
              <w:t>$24,237</w:t>
            </w: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r>
              <w:t>$14,256</w:t>
            </w:r>
          </w:p>
        </w:tc>
        <w:tc>
          <w:tcPr>
            <w:tcW w:w="1329" w:type="dxa"/>
            <w:vAlign w:val="center"/>
          </w:tcPr>
          <w:p w:rsidR="00253925" w:rsidRDefault="00253925" w:rsidP="007033EE">
            <w:pPr>
              <w:pStyle w:val="NoSpacing"/>
              <w:jc w:val="right"/>
            </w:pPr>
            <w:r>
              <w:t>$</w:t>
            </w:r>
            <w:r w:rsidR="007033EE">
              <w:t>125,259</w:t>
            </w:r>
          </w:p>
        </w:tc>
        <w:tc>
          <w:tcPr>
            <w:tcW w:w="1330" w:type="dxa"/>
            <w:shd w:val="clear" w:color="auto" w:fill="1F3864" w:themeFill="accent5" w:themeFillShade="80"/>
            <w:vAlign w:val="center"/>
          </w:tcPr>
          <w:p w:rsidR="00253925" w:rsidRPr="00792081" w:rsidRDefault="00253925" w:rsidP="007033EE">
            <w:pPr>
              <w:pStyle w:val="NoSpacing"/>
              <w:jc w:val="right"/>
              <w:rPr>
                <w:b/>
                <w:color w:val="FFFFFF" w:themeColor="background1"/>
                <w:sz w:val="24"/>
                <w:szCs w:val="24"/>
              </w:rPr>
            </w:pPr>
            <w:r>
              <w:rPr>
                <w:b/>
                <w:color w:val="FFFFFF" w:themeColor="background1"/>
                <w:sz w:val="24"/>
                <w:szCs w:val="24"/>
              </w:rPr>
              <w:t>$</w:t>
            </w:r>
            <w:r w:rsidR="007033EE">
              <w:rPr>
                <w:b/>
                <w:color w:val="FFFFFF" w:themeColor="background1"/>
                <w:sz w:val="24"/>
                <w:szCs w:val="24"/>
              </w:rPr>
              <w:t>163,752</w:t>
            </w:r>
          </w:p>
        </w:tc>
      </w:tr>
      <w:tr w:rsidR="00253925" w:rsidTr="00DA19CC">
        <w:trPr>
          <w:cantSplit/>
          <w:trHeight w:val="877"/>
        </w:trPr>
        <w:tc>
          <w:tcPr>
            <w:tcW w:w="2425" w:type="dxa"/>
            <w:vAlign w:val="center"/>
          </w:tcPr>
          <w:p w:rsidR="00253925" w:rsidRDefault="00253925" w:rsidP="00621791">
            <w:pPr>
              <w:pStyle w:val="NoSpacing"/>
            </w:pPr>
            <w:r>
              <w:t>4000</w:t>
            </w:r>
          </w:p>
          <w:p w:rsidR="00253925" w:rsidRDefault="00253925" w:rsidP="00621791">
            <w:pPr>
              <w:pStyle w:val="NoSpacing"/>
            </w:pPr>
            <w:r>
              <w:t>Supplies &amp; Materials</w:t>
            </w:r>
          </w:p>
        </w:tc>
        <w:tc>
          <w:tcPr>
            <w:tcW w:w="1329" w:type="dxa"/>
            <w:vAlign w:val="center"/>
          </w:tcPr>
          <w:p w:rsidR="00253925" w:rsidRDefault="00253925" w:rsidP="00B7607F">
            <w:pPr>
              <w:pStyle w:val="NoSpacing"/>
              <w:jc w:val="right"/>
            </w:pPr>
            <w:r>
              <w:t>$12,893</w:t>
            </w:r>
          </w:p>
        </w:tc>
        <w:tc>
          <w:tcPr>
            <w:tcW w:w="1329" w:type="dxa"/>
            <w:vAlign w:val="center"/>
          </w:tcPr>
          <w:p w:rsidR="00253925" w:rsidRDefault="00253925" w:rsidP="00B7607F">
            <w:pPr>
              <w:pStyle w:val="NoSpacing"/>
              <w:jc w:val="right"/>
            </w:pPr>
            <w:r>
              <w:t>$1,225</w:t>
            </w:r>
          </w:p>
        </w:tc>
        <w:tc>
          <w:tcPr>
            <w:tcW w:w="1330" w:type="dxa"/>
            <w:vAlign w:val="center"/>
          </w:tcPr>
          <w:p w:rsidR="00253925" w:rsidRDefault="00253925" w:rsidP="00B7607F">
            <w:pPr>
              <w:pStyle w:val="NoSpacing"/>
              <w:jc w:val="right"/>
            </w:pPr>
            <w:r>
              <w:t>$158</w:t>
            </w:r>
          </w:p>
        </w:tc>
        <w:tc>
          <w:tcPr>
            <w:tcW w:w="1329" w:type="dxa"/>
            <w:vAlign w:val="center"/>
          </w:tcPr>
          <w:p w:rsidR="00253925" w:rsidRDefault="00253925" w:rsidP="00B7607F">
            <w:pPr>
              <w:pStyle w:val="NoSpacing"/>
              <w:jc w:val="right"/>
            </w:pPr>
            <w:r>
              <w:t>$1,557</w:t>
            </w: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r>
              <w:t>$4,102</w:t>
            </w: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r>
              <w:t>$82,363</w:t>
            </w:r>
          </w:p>
        </w:tc>
        <w:tc>
          <w:tcPr>
            <w:tcW w:w="1330" w:type="dxa"/>
            <w:shd w:val="clear" w:color="auto" w:fill="1F3864" w:themeFill="accent5" w:themeFillShade="80"/>
            <w:vAlign w:val="center"/>
          </w:tcPr>
          <w:p w:rsidR="00253925" w:rsidRPr="00792081" w:rsidRDefault="00253925" w:rsidP="00B7607F">
            <w:pPr>
              <w:pStyle w:val="NoSpacing"/>
              <w:jc w:val="right"/>
              <w:rPr>
                <w:b/>
                <w:color w:val="FFFFFF" w:themeColor="background1"/>
                <w:sz w:val="24"/>
                <w:szCs w:val="24"/>
              </w:rPr>
            </w:pPr>
            <w:r>
              <w:rPr>
                <w:b/>
                <w:color w:val="FFFFFF" w:themeColor="background1"/>
                <w:sz w:val="24"/>
                <w:szCs w:val="24"/>
              </w:rPr>
              <w:t>$102,298</w:t>
            </w:r>
          </w:p>
        </w:tc>
      </w:tr>
      <w:tr w:rsidR="00253925" w:rsidTr="00DA19CC">
        <w:trPr>
          <w:cantSplit/>
          <w:trHeight w:val="877"/>
        </w:trPr>
        <w:tc>
          <w:tcPr>
            <w:tcW w:w="2425" w:type="dxa"/>
            <w:vAlign w:val="center"/>
          </w:tcPr>
          <w:p w:rsidR="00253925" w:rsidRDefault="00253925" w:rsidP="00621791">
            <w:pPr>
              <w:pStyle w:val="NoSpacing"/>
            </w:pPr>
            <w:r>
              <w:t>5000</w:t>
            </w:r>
          </w:p>
          <w:p w:rsidR="00253925" w:rsidRDefault="00253925" w:rsidP="00621791">
            <w:pPr>
              <w:pStyle w:val="NoSpacing"/>
            </w:pPr>
            <w:r>
              <w:t>Other Operating Expenses and Services</w:t>
            </w:r>
          </w:p>
        </w:tc>
        <w:tc>
          <w:tcPr>
            <w:tcW w:w="1329" w:type="dxa"/>
            <w:vAlign w:val="center"/>
          </w:tcPr>
          <w:p w:rsidR="00253925" w:rsidRDefault="00253925" w:rsidP="00B7607F">
            <w:pPr>
              <w:pStyle w:val="NoSpacing"/>
              <w:jc w:val="right"/>
            </w:pPr>
            <w:r>
              <w:t>$2,560</w:t>
            </w:r>
          </w:p>
        </w:tc>
        <w:tc>
          <w:tcPr>
            <w:tcW w:w="1329" w:type="dxa"/>
            <w:vAlign w:val="center"/>
          </w:tcPr>
          <w:p w:rsidR="00253925" w:rsidRDefault="00253925" w:rsidP="00B7607F">
            <w:pPr>
              <w:pStyle w:val="NoSpacing"/>
              <w:jc w:val="right"/>
            </w:pPr>
            <w:r>
              <w:t>$6,127</w:t>
            </w: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r>
              <w:t>$1,492</w:t>
            </w:r>
          </w:p>
        </w:tc>
        <w:tc>
          <w:tcPr>
            <w:tcW w:w="1330" w:type="dxa"/>
            <w:vAlign w:val="center"/>
          </w:tcPr>
          <w:p w:rsidR="00253925" w:rsidRDefault="00253925" w:rsidP="00B7607F">
            <w:pPr>
              <w:pStyle w:val="NoSpacing"/>
              <w:jc w:val="right"/>
            </w:pPr>
            <w:r>
              <w:t>$18,761</w:t>
            </w:r>
          </w:p>
        </w:tc>
        <w:tc>
          <w:tcPr>
            <w:tcW w:w="1329" w:type="dxa"/>
            <w:vAlign w:val="center"/>
          </w:tcPr>
          <w:p w:rsidR="00253925" w:rsidRDefault="00253925" w:rsidP="00B7607F">
            <w:pPr>
              <w:pStyle w:val="NoSpacing"/>
              <w:jc w:val="right"/>
            </w:pPr>
            <w:r>
              <w:t>$46,563</w:t>
            </w: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r>
              <w:t>$59,523</w:t>
            </w:r>
          </w:p>
        </w:tc>
        <w:tc>
          <w:tcPr>
            <w:tcW w:w="1330" w:type="dxa"/>
            <w:shd w:val="clear" w:color="auto" w:fill="1F3864" w:themeFill="accent5" w:themeFillShade="80"/>
            <w:vAlign w:val="center"/>
          </w:tcPr>
          <w:p w:rsidR="00253925" w:rsidRPr="00792081" w:rsidRDefault="00253925" w:rsidP="00B7607F">
            <w:pPr>
              <w:pStyle w:val="NoSpacing"/>
              <w:jc w:val="right"/>
              <w:rPr>
                <w:b/>
                <w:color w:val="FFFFFF" w:themeColor="background1"/>
                <w:sz w:val="24"/>
                <w:szCs w:val="24"/>
              </w:rPr>
            </w:pPr>
            <w:r>
              <w:rPr>
                <w:b/>
                <w:color w:val="FFFFFF" w:themeColor="background1"/>
                <w:sz w:val="24"/>
                <w:szCs w:val="24"/>
              </w:rPr>
              <w:t>$135,026</w:t>
            </w:r>
          </w:p>
        </w:tc>
      </w:tr>
      <w:tr w:rsidR="00253925" w:rsidTr="00DA19CC">
        <w:trPr>
          <w:cantSplit/>
          <w:trHeight w:val="877"/>
        </w:trPr>
        <w:tc>
          <w:tcPr>
            <w:tcW w:w="2425" w:type="dxa"/>
            <w:vAlign w:val="center"/>
          </w:tcPr>
          <w:p w:rsidR="00253925" w:rsidRDefault="00253925" w:rsidP="00621791">
            <w:pPr>
              <w:pStyle w:val="NoSpacing"/>
            </w:pPr>
            <w:r>
              <w:t>6000</w:t>
            </w:r>
          </w:p>
          <w:p w:rsidR="00253925" w:rsidRDefault="00253925" w:rsidP="00621791">
            <w:pPr>
              <w:pStyle w:val="NoSpacing"/>
            </w:pPr>
            <w:r>
              <w:t>Technology Equipment</w:t>
            </w:r>
          </w:p>
        </w:tc>
        <w:tc>
          <w:tcPr>
            <w:tcW w:w="1329"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7033EE" w:rsidP="00B7607F">
            <w:pPr>
              <w:pStyle w:val="NoSpacing"/>
              <w:jc w:val="right"/>
            </w:pPr>
            <w:r>
              <w:t>$23,909</w:t>
            </w:r>
          </w:p>
        </w:tc>
        <w:tc>
          <w:tcPr>
            <w:tcW w:w="1330" w:type="dxa"/>
            <w:shd w:val="clear" w:color="auto" w:fill="1F3864" w:themeFill="accent5" w:themeFillShade="80"/>
            <w:vAlign w:val="center"/>
          </w:tcPr>
          <w:p w:rsidR="00253925" w:rsidRPr="00792081" w:rsidRDefault="00253925" w:rsidP="00B7607F">
            <w:pPr>
              <w:pStyle w:val="NoSpacing"/>
              <w:jc w:val="right"/>
              <w:rPr>
                <w:b/>
                <w:color w:val="FFFFFF" w:themeColor="background1"/>
                <w:sz w:val="24"/>
                <w:szCs w:val="24"/>
              </w:rPr>
            </w:pPr>
            <w:r>
              <w:rPr>
                <w:b/>
                <w:color w:val="FFFFFF" w:themeColor="background1"/>
                <w:sz w:val="24"/>
                <w:szCs w:val="24"/>
              </w:rPr>
              <w:t>$23,909</w:t>
            </w:r>
          </w:p>
        </w:tc>
      </w:tr>
      <w:tr w:rsidR="00253925" w:rsidTr="00DA19CC">
        <w:trPr>
          <w:cantSplit/>
          <w:trHeight w:val="877"/>
        </w:trPr>
        <w:tc>
          <w:tcPr>
            <w:tcW w:w="2425" w:type="dxa"/>
            <w:vAlign w:val="center"/>
          </w:tcPr>
          <w:p w:rsidR="00253925" w:rsidRDefault="00253925" w:rsidP="00621791">
            <w:pPr>
              <w:pStyle w:val="NoSpacing"/>
            </w:pPr>
            <w:r>
              <w:t>7000</w:t>
            </w:r>
          </w:p>
          <w:p w:rsidR="00253925" w:rsidRDefault="00253925" w:rsidP="00621791">
            <w:pPr>
              <w:pStyle w:val="NoSpacing"/>
            </w:pPr>
            <w:r>
              <w:t>Other Outgo</w:t>
            </w:r>
          </w:p>
        </w:tc>
        <w:tc>
          <w:tcPr>
            <w:tcW w:w="1329"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vAlign w:val="center"/>
          </w:tcPr>
          <w:p w:rsidR="00253925" w:rsidRDefault="00253925" w:rsidP="00B7607F">
            <w:pPr>
              <w:pStyle w:val="NoSpacing"/>
              <w:jc w:val="right"/>
            </w:pPr>
          </w:p>
        </w:tc>
        <w:tc>
          <w:tcPr>
            <w:tcW w:w="1329" w:type="dxa"/>
            <w:vAlign w:val="center"/>
          </w:tcPr>
          <w:p w:rsidR="00253925" w:rsidRDefault="00253925" w:rsidP="00B7607F">
            <w:pPr>
              <w:pStyle w:val="NoSpacing"/>
              <w:jc w:val="right"/>
            </w:pPr>
          </w:p>
        </w:tc>
        <w:tc>
          <w:tcPr>
            <w:tcW w:w="1330" w:type="dxa"/>
            <w:shd w:val="clear" w:color="auto" w:fill="1F3864" w:themeFill="accent5" w:themeFillShade="80"/>
            <w:vAlign w:val="center"/>
          </w:tcPr>
          <w:p w:rsidR="00253925" w:rsidRPr="00792081" w:rsidRDefault="00253925" w:rsidP="00B7607F">
            <w:pPr>
              <w:pStyle w:val="NoSpacing"/>
              <w:jc w:val="right"/>
              <w:rPr>
                <w:b/>
                <w:color w:val="FFFFFF" w:themeColor="background1"/>
                <w:sz w:val="24"/>
                <w:szCs w:val="24"/>
              </w:rPr>
            </w:pPr>
            <w:r>
              <w:rPr>
                <w:b/>
                <w:color w:val="FFFFFF" w:themeColor="background1"/>
                <w:sz w:val="24"/>
                <w:szCs w:val="24"/>
              </w:rPr>
              <w:t>$91,513</w:t>
            </w:r>
          </w:p>
        </w:tc>
      </w:tr>
      <w:tr w:rsidR="00253925" w:rsidTr="00DA19CC">
        <w:trPr>
          <w:cantSplit/>
          <w:trHeight w:val="877"/>
        </w:trPr>
        <w:tc>
          <w:tcPr>
            <w:tcW w:w="2425" w:type="dxa"/>
            <w:vAlign w:val="center"/>
          </w:tcPr>
          <w:p w:rsidR="00253925" w:rsidRPr="00582758" w:rsidRDefault="00253925" w:rsidP="00621791">
            <w:pPr>
              <w:pStyle w:val="NoSpacing"/>
              <w:rPr>
                <w:b/>
              </w:rPr>
            </w:pPr>
            <w:r w:rsidRPr="00582758">
              <w:rPr>
                <w:b/>
              </w:rPr>
              <w:t>GRAND TOTAL</w:t>
            </w:r>
          </w:p>
        </w:tc>
        <w:tc>
          <w:tcPr>
            <w:tcW w:w="1329" w:type="dxa"/>
            <w:vAlign w:val="center"/>
          </w:tcPr>
          <w:p w:rsidR="00253925" w:rsidRPr="00582758" w:rsidRDefault="00253925" w:rsidP="00B7607F">
            <w:pPr>
              <w:pStyle w:val="NoSpacing"/>
              <w:jc w:val="right"/>
              <w:rPr>
                <w:b/>
              </w:rPr>
            </w:pPr>
          </w:p>
        </w:tc>
        <w:tc>
          <w:tcPr>
            <w:tcW w:w="1329" w:type="dxa"/>
            <w:vAlign w:val="center"/>
          </w:tcPr>
          <w:p w:rsidR="00253925" w:rsidRPr="00582758" w:rsidRDefault="00253925" w:rsidP="00B7607F">
            <w:pPr>
              <w:pStyle w:val="NoSpacing"/>
              <w:jc w:val="right"/>
              <w:rPr>
                <w:b/>
              </w:rPr>
            </w:pPr>
          </w:p>
        </w:tc>
        <w:tc>
          <w:tcPr>
            <w:tcW w:w="1330" w:type="dxa"/>
            <w:vAlign w:val="center"/>
          </w:tcPr>
          <w:p w:rsidR="00253925" w:rsidRPr="00582758" w:rsidRDefault="00253925" w:rsidP="00B7607F">
            <w:pPr>
              <w:pStyle w:val="NoSpacing"/>
              <w:jc w:val="right"/>
              <w:rPr>
                <w:b/>
              </w:rPr>
            </w:pPr>
          </w:p>
        </w:tc>
        <w:tc>
          <w:tcPr>
            <w:tcW w:w="1329" w:type="dxa"/>
            <w:vAlign w:val="center"/>
          </w:tcPr>
          <w:p w:rsidR="00253925" w:rsidRPr="00582758" w:rsidRDefault="00253925" w:rsidP="00B7607F">
            <w:pPr>
              <w:pStyle w:val="NoSpacing"/>
              <w:jc w:val="right"/>
              <w:rPr>
                <w:b/>
              </w:rPr>
            </w:pPr>
          </w:p>
        </w:tc>
        <w:tc>
          <w:tcPr>
            <w:tcW w:w="1330" w:type="dxa"/>
            <w:vAlign w:val="center"/>
          </w:tcPr>
          <w:p w:rsidR="00253925" w:rsidRPr="00582758" w:rsidRDefault="00253925" w:rsidP="00B7607F">
            <w:pPr>
              <w:pStyle w:val="NoSpacing"/>
              <w:jc w:val="right"/>
              <w:rPr>
                <w:b/>
              </w:rPr>
            </w:pPr>
          </w:p>
        </w:tc>
        <w:tc>
          <w:tcPr>
            <w:tcW w:w="1329" w:type="dxa"/>
            <w:vAlign w:val="center"/>
          </w:tcPr>
          <w:p w:rsidR="00253925" w:rsidRPr="00582758" w:rsidRDefault="00253925" w:rsidP="00B7607F">
            <w:pPr>
              <w:pStyle w:val="NoSpacing"/>
              <w:jc w:val="right"/>
              <w:rPr>
                <w:b/>
              </w:rPr>
            </w:pPr>
          </w:p>
        </w:tc>
        <w:tc>
          <w:tcPr>
            <w:tcW w:w="1330" w:type="dxa"/>
            <w:vAlign w:val="center"/>
          </w:tcPr>
          <w:p w:rsidR="00253925" w:rsidRPr="00582758" w:rsidRDefault="00253925" w:rsidP="00B7607F">
            <w:pPr>
              <w:pStyle w:val="NoSpacing"/>
              <w:jc w:val="right"/>
              <w:rPr>
                <w:b/>
              </w:rPr>
            </w:pPr>
          </w:p>
        </w:tc>
        <w:tc>
          <w:tcPr>
            <w:tcW w:w="1329" w:type="dxa"/>
            <w:vAlign w:val="center"/>
          </w:tcPr>
          <w:p w:rsidR="00253925" w:rsidRPr="00582758" w:rsidRDefault="00253925" w:rsidP="00B7607F">
            <w:pPr>
              <w:pStyle w:val="NoSpacing"/>
              <w:jc w:val="right"/>
              <w:rPr>
                <w:b/>
              </w:rPr>
            </w:pPr>
          </w:p>
        </w:tc>
        <w:tc>
          <w:tcPr>
            <w:tcW w:w="1330" w:type="dxa"/>
            <w:shd w:val="clear" w:color="auto" w:fill="1F3864" w:themeFill="accent5" w:themeFillShade="80"/>
            <w:vAlign w:val="center"/>
          </w:tcPr>
          <w:p w:rsidR="00253925" w:rsidRPr="00792081" w:rsidRDefault="00253925" w:rsidP="007033EE">
            <w:pPr>
              <w:pStyle w:val="NoSpacing"/>
              <w:jc w:val="right"/>
              <w:rPr>
                <w:b/>
                <w:color w:val="FFFFFF" w:themeColor="background1"/>
                <w:sz w:val="24"/>
                <w:szCs w:val="24"/>
              </w:rPr>
            </w:pPr>
            <w:r>
              <w:rPr>
                <w:b/>
                <w:color w:val="FFFFFF" w:themeColor="background1"/>
                <w:sz w:val="24"/>
                <w:szCs w:val="24"/>
              </w:rPr>
              <w:t>$1,</w:t>
            </w:r>
            <w:r w:rsidR="007033EE">
              <w:rPr>
                <w:b/>
                <w:color w:val="FFFFFF" w:themeColor="background1"/>
                <w:sz w:val="24"/>
                <w:szCs w:val="24"/>
              </w:rPr>
              <w:t>028,495</w:t>
            </w:r>
          </w:p>
        </w:tc>
      </w:tr>
    </w:tbl>
    <w:p w:rsidR="00477BC8" w:rsidRPr="00DA19CC" w:rsidRDefault="00DA19CC" w:rsidP="00C34B50">
      <w:pPr>
        <w:pStyle w:val="NoSpacing"/>
        <w:rPr>
          <w:sz w:val="20"/>
          <w:szCs w:val="20"/>
        </w:rPr>
      </w:pPr>
      <w:r>
        <w:rPr>
          <w:i/>
          <w:iCs/>
          <w:sz w:val="20"/>
          <w:szCs w:val="20"/>
        </w:rPr>
        <w:t>*Includes additional monies re-allocated in 2015-16 with expenditures through December 31, 2016.</w:t>
      </w:r>
      <w:bookmarkStart w:id="0" w:name="_GoBack"/>
      <w:bookmarkEnd w:id="0"/>
    </w:p>
    <w:p w:rsidR="00477BC8" w:rsidRDefault="00477BC8">
      <w:pPr>
        <w:rPr>
          <w:b/>
          <w:sz w:val="24"/>
          <w:szCs w:val="24"/>
        </w:rPr>
      </w:pPr>
      <w:r>
        <w:rPr>
          <w:b/>
          <w:sz w:val="24"/>
          <w:szCs w:val="24"/>
        </w:rPr>
        <w:br w:type="page"/>
      </w:r>
    </w:p>
    <w:p w:rsidR="00477BC8" w:rsidRPr="000C36B6" w:rsidRDefault="00585AE9" w:rsidP="00C34B50">
      <w:pPr>
        <w:pStyle w:val="NoSpacing"/>
        <w:rPr>
          <w:b/>
          <w:sz w:val="32"/>
          <w:szCs w:val="32"/>
        </w:rPr>
      </w:pPr>
      <w:r>
        <w:rPr>
          <w:b/>
          <w:sz w:val="32"/>
          <w:szCs w:val="32"/>
        </w:rPr>
        <w:lastRenderedPageBreak/>
        <w:t>Assessment of Progress o</w:t>
      </w:r>
      <w:r w:rsidR="00477BC8">
        <w:rPr>
          <w:b/>
          <w:sz w:val="32"/>
          <w:szCs w:val="32"/>
        </w:rPr>
        <w:t>n 2015-2018 Identified Goals</w:t>
      </w:r>
    </w:p>
    <w:p w:rsidR="00585AE9" w:rsidRDefault="00585AE9" w:rsidP="00C34B50">
      <w:pPr>
        <w:pStyle w:val="NoSpacing"/>
        <w:rPr>
          <w:b/>
          <w:sz w:val="24"/>
          <w:szCs w:val="24"/>
        </w:rPr>
      </w:pPr>
    </w:p>
    <w:tbl>
      <w:tblPr>
        <w:tblW w:w="128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7673"/>
      </w:tblGrid>
      <w:tr w:rsidR="007B1CEC" w:rsidRPr="001E3947" w:rsidTr="00CE39EC">
        <w:trPr>
          <w:trHeight w:val="278"/>
        </w:trPr>
        <w:tc>
          <w:tcPr>
            <w:tcW w:w="12893" w:type="dxa"/>
            <w:gridSpan w:val="2"/>
            <w:shd w:val="clear" w:color="auto" w:fill="8EAADB"/>
          </w:tcPr>
          <w:p w:rsidR="007B1CEC" w:rsidRPr="009C63D3" w:rsidRDefault="007B1CEC" w:rsidP="000C36B6">
            <w:pPr>
              <w:pStyle w:val="NoSpacing"/>
              <w:rPr>
                <w:rFonts w:ascii="Calibri" w:eastAsia="Calibri" w:hAnsi="Calibri" w:cs="Calibri"/>
              </w:rPr>
            </w:pPr>
            <w:r w:rsidRPr="000C36B6">
              <w:rPr>
                <w:rFonts w:ascii="Calibri" w:eastAsia="Calibri" w:hAnsi="Calibri" w:cs="Calibri"/>
                <w:b/>
                <w:sz w:val="24"/>
              </w:rPr>
              <w:t>Access</w:t>
            </w:r>
          </w:p>
        </w:tc>
      </w:tr>
      <w:tr w:rsidR="00585AE9" w:rsidRPr="001E3947" w:rsidTr="00CE39EC">
        <w:tc>
          <w:tcPr>
            <w:tcW w:w="5220" w:type="dxa"/>
          </w:tcPr>
          <w:p w:rsidR="00585AE9" w:rsidRPr="000B51A8" w:rsidRDefault="00585AE9" w:rsidP="004D0E9A">
            <w:pPr>
              <w:widowControl w:val="0"/>
              <w:rPr>
                <w:rFonts w:ascii="Calibri" w:eastAsia="Calibri" w:hAnsi="Calibri" w:cs="Calibri"/>
              </w:rPr>
            </w:pPr>
            <w:r w:rsidRPr="000B51A8">
              <w:rPr>
                <w:rFonts w:ascii="Calibri" w:eastAsia="Calibri" w:hAnsi="Calibri" w:cs="Calibri"/>
              </w:rPr>
              <w:t xml:space="preserve">Increase the equity index in access for </w:t>
            </w:r>
            <w:r>
              <w:rPr>
                <w:rFonts w:ascii="Calibri" w:eastAsia="Calibri" w:hAnsi="Calibri" w:cs="Calibri"/>
              </w:rPr>
              <w:t>veterans from .53 to .8 by 2018.</w:t>
            </w:r>
          </w:p>
        </w:tc>
        <w:tc>
          <w:tcPr>
            <w:tcW w:w="7673" w:type="dxa"/>
            <w:shd w:val="clear" w:color="auto" w:fill="auto"/>
          </w:tcPr>
          <w:p w:rsidR="00585AE9" w:rsidRPr="001E3947" w:rsidRDefault="00585AE9" w:rsidP="004D0E9A">
            <w:pPr>
              <w:widowControl w:val="0"/>
              <w:rPr>
                <w:rFonts w:ascii="Calibri" w:eastAsia="Calibri" w:hAnsi="Calibri" w:cs="Calibri"/>
              </w:rPr>
            </w:pPr>
            <w:r w:rsidRPr="001E3947">
              <w:rPr>
                <w:rFonts w:ascii="Calibri" w:eastAsia="Calibri" w:hAnsi="Calibri" w:cs="Calibri"/>
              </w:rPr>
              <w:t>Staffing and programming in the Veterans Information Center have increased to increase access to campus resources and services.  The equity index in this area has increased to .67.</w:t>
            </w:r>
          </w:p>
        </w:tc>
      </w:tr>
      <w:tr w:rsidR="00585AE9" w:rsidRPr="001E3947" w:rsidTr="00CE39EC">
        <w:tc>
          <w:tcPr>
            <w:tcW w:w="5220" w:type="dxa"/>
          </w:tcPr>
          <w:p w:rsidR="00585AE9" w:rsidRPr="000B51A8" w:rsidRDefault="00585AE9" w:rsidP="004D0E9A">
            <w:pPr>
              <w:widowControl w:val="0"/>
              <w:rPr>
                <w:rFonts w:ascii="Calibri" w:eastAsia="Calibri" w:hAnsi="Calibri" w:cs="Calibri"/>
              </w:rPr>
            </w:pPr>
            <w:r w:rsidRPr="000B51A8">
              <w:rPr>
                <w:rFonts w:ascii="Calibri" w:eastAsia="Calibri" w:hAnsi="Calibri" w:cs="Calibri"/>
              </w:rPr>
              <w:t>Increase the equity index in access for Asian/Pacific Islanders from .83 to 1.0 by 2018</w:t>
            </w:r>
            <w:r>
              <w:rPr>
                <w:rFonts w:ascii="Calibri" w:eastAsia="Calibri" w:hAnsi="Calibri" w:cs="Calibri"/>
              </w:rPr>
              <w:t>.</w:t>
            </w:r>
          </w:p>
        </w:tc>
        <w:tc>
          <w:tcPr>
            <w:tcW w:w="7673" w:type="dxa"/>
            <w:shd w:val="clear" w:color="auto" w:fill="auto"/>
          </w:tcPr>
          <w:p w:rsidR="00585AE9" w:rsidRPr="001E3947" w:rsidRDefault="00585AE9" w:rsidP="004D0E9A">
            <w:pPr>
              <w:widowControl w:val="0"/>
              <w:rPr>
                <w:rFonts w:ascii="Calibri" w:eastAsia="Calibri" w:hAnsi="Calibri" w:cs="Calibri"/>
              </w:rPr>
            </w:pPr>
            <w:r w:rsidRPr="001E3947">
              <w:rPr>
                <w:rFonts w:ascii="Calibri" w:eastAsia="Calibri" w:hAnsi="Calibri" w:cs="Calibri"/>
              </w:rPr>
              <w:t>While the equity index shows a slight drop at .71, efforts to increase access, particularly to Pacific Islander students disproportionately impacted in the northern part of the district were successful with the start of a new Mana program in Fall 2016.</w:t>
            </w:r>
          </w:p>
        </w:tc>
      </w:tr>
      <w:tr w:rsidR="00585AE9" w:rsidRPr="001E3947" w:rsidTr="00CE39EC">
        <w:tc>
          <w:tcPr>
            <w:tcW w:w="5220" w:type="dxa"/>
          </w:tcPr>
          <w:p w:rsidR="00585AE9" w:rsidRPr="000B51A8" w:rsidRDefault="00585AE9" w:rsidP="004D0E9A">
            <w:pPr>
              <w:widowControl w:val="0"/>
              <w:rPr>
                <w:rFonts w:ascii="Calibri" w:eastAsia="Calibri" w:hAnsi="Calibri" w:cs="Calibri"/>
              </w:rPr>
            </w:pPr>
            <w:r w:rsidRPr="000B51A8">
              <w:rPr>
                <w:rFonts w:ascii="Calibri" w:eastAsia="Calibri" w:hAnsi="Calibri" w:cs="Calibri"/>
              </w:rPr>
              <w:t>Increase the equit</w:t>
            </w:r>
            <w:r>
              <w:rPr>
                <w:rFonts w:ascii="Calibri" w:eastAsia="Calibri" w:hAnsi="Calibri" w:cs="Calibri"/>
              </w:rPr>
              <w:t xml:space="preserve">y index in access for students </w:t>
            </w:r>
            <w:r w:rsidRPr="000B51A8">
              <w:rPr>
                <w:rFonts w:ascii="Calibri" w:eastAsia="Calibri" w:hAnsi="Calibri" w:cs="Calibri"/>
              </w:rPr>
              <w:t>experiencing economic disadvantage from .13 to .6</w:t>
            </w:r>
            <w:r>
              <w:rPr>
                <w:rFonts w:ascii="Calibri" w:eastAsia="Calibri" w:hAnsi="Calibri" w:cs="Calibri"/>
              </w:rPr>
              <w:t xml:space="preserve"> </w:t>
            </w:r>
            <w:r w:rsidRPr="001E3947">
              <w:rPr>
                <w:rFonts w:ascii="Calibri" w:eastAsia="Calibri" w:hAnsi="Calibri" w:cs="Calibri"/>
              </w:rPr>
              <w:t>by 2018.</w:t>
            </w:r>
          </w:p>
        </w:tc>
        <w:tc>
          <w:tcPr>
            <w:tcW w:w="7673" w:type="dxa"/>
            <w:shd w:val="clear" w:color="auto" w:fill="auto"/>
          </w:tcPr>
          <w:p w:rsidR="00585AE9" w:rsidRPr="001E3947" w:rsidRDefault="00585AE9" w:rsidP="004D0E9A">
            <w:pPr>
              <w:widowControl w:val="0"/>
              <w:rPr>
                <w:rFonts w:ascii="Calibri" w:eastAsia="Calibri" w:hAnsi="Calibri" w:cs="Calibri"/>
              </w:rPr>
            </w:pPr>
            <w:r w:rsidRPr="001E3947">
              <w:rPr>
                <w:rFonts w:ascii="Calibri" w:eastAsia="Calibri" w:hAnsi="Calibri" w:cs="Calibri"/>
              </w:rPr>
              <w:t>There are several efforts underway to increase a college-going culture in Title I schools in the district’s service area as well as with feeder high schools with predominantly low-income populations through the First Year Forward program, Academic Success and Equity programs, and partnerships with GEAR UP.  The equity index in this area has increased to .35</w:t>
            </w:r>
          </w:p>
        </w:tc>
      </w:tr>
      <w:tr w:rsidR="007B1CEC" w:rsidRPr="000B51A8" w:rsidTr="00CE39EC">
        <w:tc>
          <w:tcPr>
            <w:tcW w:w="12893" w:type="dxa"/>
            <w:gridSpan w:val="2"/>
            <w:shd w:val="clear" w:color="auto" w:fill="8EAADB"/>
          </w:tcPr>
          <w:p w:rsidR="007B1CEC" w:rsidRDefault="007B1CEC" w:rsidP="000C36B6">
            <w:pPr>
              <w:pStyle w:val="NoSpacing"/>
              <w:rPr>
                <w:rFonts w:ascii="Calibri" w:eastAsia="Calibri" w:hAnsi="Calibri" w:cs="Calibri"/>
              </w:rPr>
            </w:pPr>
            <w:r w:rsidRPr="000C36B6">
              <w:rPr>
                <w:rFonts w:ascii="Calibri" w:eastAsia="Calibri" w:hAnsi="Calibri" w:cs="Calibri"/>
                <w:b/>
                <w:sz w:val="24"/>
              </w:rPr>
              <w:t>Course Completion</w:t>
            </w:r>
          </w:p>
        </w:tc>
      </w:tr>
      <w:tr w:rsidR="00585AE9" w:rsidRPr="000B51A8" w:rsidTr="00CE39EC">
        <w:tc>
          <w:tcPr>
            <w:tcW w:w="5220" w:type="dxa"/>
          </w:tcPr>
          <w:p w:rsidR="00585AE9" w:rsidRPr="000B51A8" w:rsidRDefault="00585AE9" w:rsidP="004D0E9A">
            <w:pPr>
              <w:widowControl w:val="0"/>
              <w:rPr>
                <w:rFonts w:ascii="Calibri" w:eastAsia="Calibri" w:hAnsi="Calibri" w:cs="Calibri"/>
              </w:rPr>
            </w:pPr>
            <w:r w:rsidRPr="000B51A8">
              <w:rPr>
                <w:rFonts w:ascii="Calibri" w:eastAsia="Calibri" w:hAnsi="Calibri" w:cs="Calibri"/>
              </w:rPr>
              <w:t>Reduce the course completion gap for males from 2.4 to 1.0</w:t>
            </w:r>
            <w:r>
              <w:rPr>
                <w:rFonts w:ascii="Calibri" w:eastAsia="Calibri" w:hAnsi="Calibri" w:cs="Calibri"/>
              </w:rPr>
              <w:t xml:space="preserve"> percent </w:t>
            </w:r>
            <w:r w:rsidRPr="001E3947">
              <w:rPr>
                <w:rFonts w:ascii="Calibri" w:eastAsia="Calibri" w:hAnsi="Calibri" w:cs="Calibri"/>
              </w:rPr>
              <w:t>by 2018.</w:t>
            </w:r>
          </w:p>
        </w:tc>
        <w:tc>
          <w:tcPr>
            <w:tcW w:w="7673" w:type="dxa"/>
          </w:tcPr>
          <w:p w:rsidR="00585AE9" w:rsidRPr="000B51A8" w:rsidRDefault="00585AE9" w:rsidP="004D0E9A">
            <w:pPr>
              <w:widowControl w:val="0"/>
              <w:rPr>
                <w:rFonts w:ascii="Calibri" w:eastAsia="Calibri" w:hAnsi="Calibri" w:cs="Calibri"/>
              </w:rPr>
            </w:pPr>
            <w:r>
              <w:rPr>
                <w:rFonts w:ascii="Calibri" w:eastAsia="Calibri" w:hAnsi="Calibri" w:cs="Calibri"/>
              </w:rPr>
              <w:t xml:space="preserve">Efforts continue to increase male enrollment in Academic Success and Equity Programs continues and the college is analyzing data collected through collaborations with the Minority Male Community College Collaborative regarding men of color and access to resources.  The equity index has slightly increased to .98 (up from .97) with percentage below average narrowing to 1.46 percent.  </w:t>
            </w:r>
          </w:p>
        </w:tc>
      </w:tr>
      <w:tr w:rsidR="00585AE9" w:rsidRPr="000B51A8" w:rsidTr="00CE39EC">
        <w:tc>
          <w:tcPr>
            <w:tcW w:w="5220" w:type="dxa"/>
          </w:tcPr>
          <w:p w:rsidR="00585AE9" w:rsidRPr="000B51A8" w:rsidRDefault="00585AE9" w:rsidP="004D0E9A">
            <w:pPr>
              <w:widowControl w:val="0"/>
              <w:rPr>
                <w:rFonts w:ascii="Calibri" w:eastAsia="Calibri" w:hAnsi="Calibri" w:cs="Calibri"/>
              </w:rPr>
            </w:pPr>
            <w:r w:rsidRPr="000B51A8">
              <w:rPr>
                <w:rFonts w:ascii="Calibri" w:eastAsia="Calibri" w:hAnsi="Calibri" w:cs="Calibri"/>
              </w:rPr>
              <w:t xml:space="preserve">Reduce the </w:t>
            </w:r>
            <w:r>
              <w:rPr>
                <w:rFonts w:ascii="Calibri" w:eastAsia="Calibri" w:hAnsi="Calibri" w:cs="Calibri"/>
              </w:rPr>
              <w:t>course completion gap for Black</w:t>
            </w:r>
            <w:r w:rsidRPr="000B51A8">
              <w:rPr>
                <w:rFonts w:ascii="Calibri" w:eastAsia="Calibri" w:hAnsi="Calibri" w:cs="Calibri"/>
              </w:rPr>
              <w:t>/African American students from 8.7 to 3.0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p>
        </w:tc>
        <w:tc>
          <w:tcPr>
            <w:tcW w:w="7673" w:type="dxa"/>
          </w:tcPr>
          <w:p w:rsidR="00585AE9" w:rsidRPr="000B51A8" w:rsidRDefault="00585AE9" w:rsidP="004D0E9A">
            <w:pPr>
              <w:widowControl w:val="0"/>
              <w:rPr>
                <w:rFonts w:ascii="Calibri" w:eastAsia="Calibri" w:hAnsi="Calibri" w:cs="Calibri"/>
              </w:rPr>
            </w:pPr>
            <w:r>
              <w:rPr>
                <w:rFonts w:ascii="Calibri" w:eastAsia="Calibri" w:hAnsi="Calibri" w:cs="Calibri"/>
              </w:rPr>
              <w:t>The Umoja program continues to grow by approximately 20 percent per year and provide enhanced services to students both in and outside of the program.  The equity index has slightly decreased to .84 percent (down from .86) and the percentage below average has widened to 11.5 percent.</w:t>
            </w:r>
          </w:p>
        </w:tc>
      </w:tr>
      <w:tr w:rsidR="00585AE9" w:rsidRPr="00626A3F" w:rsidTr="00CE39EC">
        <w:trPr>
          <w:trHeight w:val="1907"/>
        </w:trPr>
        <w:tc>
          <w:tcPr>
            <w:tcW w:w="5220" w:type="dxa"/>
          </w:tcPr>
          <w:p w:rsidR="00585AE9" w:rsidRPr="000B51A8" w:rsidRDefault="00585AE9" w:rsidP="004D0E9A">
            <w:pPr>
              <w:widowControl w:val="0"/>
              <w:rPr>
                <w:rFonts w:ascii="Calibri" w:eastAsia="Calibri" w:hAnsi="Calibri" w:cs="Calibri"/>
              </w:rPr>
            </w:pPr>
            <w:r w:rsidRPr="000B51A8">
              <w:rPr>
                <w:rFonts w:ascii="Calibri" w:eastAsia="Calibri" w:hAnsi="Calibri" w:cs="Calibri"/>
              </w:rPr>
              <w:t>Reduce the cou</w:t>
            </w:r>
            <w:r>
              <w:rPr>
                <w:rFonts w:ascii="Calibri" w:eastAsia="Calibri" w:hAnsi="Calibri" w:cs="Calibri"/>
              </w:rPr>
              <w:t>rse completion gap for Hispanic/</w:t>
            </w:r>
            <w:r w:rsidRPr="000B51A8">
              <w:rPr>
                <w:rFonts w:ascii="Calibri" w:eastAsia="Calibri" w:hAnsi="Calibri" w:cs="Calibri"/>
              </w:rPr>
              <w:t>Latino students from 4.0 to 2.0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p>
        </w:tc>
        <w:tc>
          <w:tcPr>
            <w:tcW w:w="7673" w:type="dxa"/>
          </w:tcPr>
          <w:p w:rsidR="00CE39EC" w:rsidRPr="00585AE9" w:rsidRDefault="00585AE9" w:rsidP="004D0E9A">
            <w:pPr>
              <w:rPr>
                <w:rFonts w:ascii="Calibri" w:eastAsia="Calibri" w:hAnsi="Calibri" w:cs="Calibri"/>
              </w:rPr>
            </w:pPr>
            <w:r w:rsidRPr="00585AE9">
              <w:rPr>
                <w:rFonts w:ascii="Calibri" w:eastAsia="Calibri" w:hAnsi="Calibri" w:cs="Calibri"/>
              </w:rPr>
              <w:t xml:space="preserve">The Puente program as well First Year Forward provide services to students and attempt to streamline student transition into </w:t>
            </w:r>
            <w:proofErr w:type="spellStart"/>
            <w:r w:rsidRPr="00585AE9">
              <w:rPr>
                <w:rFonts w:ascii="Calibri" w:eastAsia="Calibri" w:hAnsi="Calibri" w:cs="Calibri"/>
              </w:rPr>
              <w:t>MiraCosta</w:t>
            </w:r>
            <w:proofErr w:type="spellEnd"/>
            <w:r w:rsidRPr="00585AE9">
              <w:rPr>
                <w:rFonts w:ascii="Calibri" w:eastAsia="Calibri" w:hAnsi="Calibri" w:cs="Calibri"/>
              </w:rPr>
              <w:t xml:space="preserve"> and journey to graduation.  Puente serves as one of the early successes in learning communities at the campus.  Expansion of the Puente Program to include a 2nd cohort will assist in offering additional Hispanic/Latina/o students enhanced academic and support services.  The equity index has slightly increased to .95 (up from .94) and the percentage below average has narrowed to 3.96 percent.</w:t>
            </w:r>
          </w:p>
        </w:tc>
      </w:tr>
    </w:tbl>
    <w:p w:rsidR="00477BC8" w:rsidRDefault="00477BC8" w:rsidP="00C34B50">
      <w:pPr>
        <w:pStyle w:val="NoSpacing"/>
        <w:rPr>
          <w:b/>
          <w:sz w:val="24"/>
          <w:szCs w:val="24"/>
        </w:rPr>
      </w:pPr>
    </w:p>
    <w:p w:rsidR="00CE39EC" w:rsidRDefault="00CE39EC" w:rsidP="00C34B50">
      <w:pPr>
        <w:pStyle w:val="NoSpacing"/>
        <w:rPr>
          <w:b/>
          <w:sz w:val="24"/>
          <w:szCs w:val="24"/>
        </w:rPr>
      </w:pPr>
    </w:p>
    <w:p w:rsidR="00CE39EC" w:rsidRDefault="00CE39EC" w:rsidP="00C34B50">
      <w:pPr>
        <w:pStyle w:val="NoSpacing"/>
        <w:rPr>
          <w:b/>
          <w:sz w:val="24"/>
          <w:szCs w:val="24"/>
        </w:rPr>
      </w:pPr>
    </w:p>
    <w:tbl>
      <w:tblPr>
        <w:tblW w:w="128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7673"/>
      </w:tblGrid>
      <w:tr w:rsidR="00CE39EC" w:rsidTr="00CE39EC">
        <w:tc>
          <w:tcPr>
            <w:tcW w:w="12893" w:type="dxa"/>
            <w:gridSpan w:val="2"/>
            <w:shd w:val="clear" w:color="auto" w:fill="8EAADB"/>
          </w:tcPr>
          <w:p w:rsidR="00CE39EC" w:rsidRDefault="00CE39EC" w:rsidP="00F24BD2">
            <w:pPr>
              <w:pStyle w:val="NoSpacing"/>
              <w:rPr>
                <w:rFonts w:ascii="Calibri" w:eastAsia="Calibri" w:hAnsi="Calibri" w:cs="Calibri"/>
              </w:rPr>
            </w:pPr>
            <w:r w:rsidRPr="000C36B6">
              <w:rPr>
                <w:rFonts w:ascii="Calibri" w:eastAsia="Calibri" w:hAnsi="Calibri" w:cs="Calibri"/>
                <w:b/>
                <w:sz w:val="24"/>
              </w:rPr>
              <w:t>Basic Skills/ESL Completion</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sidRPr="000B51A8">
              <w:rPr>
                <w:rFonts w:ascii="Calibri" w:eastAsia="Calibri" w:hAnsi="Calibri" w:cs="Calibri"/>
              </w:rPr>
              <w:t xml:space="preserve">Reduce the gap in ESL </w:t>
            </w:r>
            <w:r>
              <w:rPr>
                <w:rFonts w:ascii="Calibri" w:eastAsia="Calibri" w:hAnsi="Calibri" w:cs="Calibri"/>
              </w:rPr>
              <w:t xml:space="preserve">and math </w:t>
            </w:r>
            <w:r w:rsidRPr="000B51A8">
              <w:rPr>
                <w:rFonts w:ascii="Calibri" w:eastAsia="Calibri" w:hAnsi="Calibri" w:cs="Calibri"/>
              </w:rPr>
              <w:t>course completion for all male students from 5.9 to 2.0</w:t>
            </w:r>
            <w:r>
              <w:rPr>
                <w:rFonts w:ascii="Calibri" w:eastAsia="Calibri" w:hAnsi="Calibri" w:cs="Calibri"/>
              </w:rPr>
              <w:t xml:space="preserve"> percent</w:t>
            </w:r>
            <w:r w:rsidRPr="000B51A8">
              <w:rPr>
                <w:rFonts w:ascii="Calibri" w:eastAsia="Calibri" w:hAnsi="Calibri" w:cs="Calibri"/>
              </w:rPr>
              <w:t xml:space="preserve"> </w:t>
            </w:r>
            <w:r>
              <w:rPr>
                <w:rFonts w:ascii="Calibri" w:eastAsia="Calibri" w:hAnsi="Calibri" w:cs="Calibri"/>
              </w:rPr>
              <w:t xml:space="preserve">and to eliminate the gap respectively </w:t>
            </w:r>
            <w:r w:rsidRPr="000B51A8">
              <w:rPr>
                <w:rFonts w:ascii="Calibri" w:eastAsia="Calibri" w:hAnsi="Calibri" w:cs="Calibri"/>
              </w:rPr>
              <w:t>by 2018</w:t>
            </w:r>
            <w:r>
              <w:rPr>
                <w:rFonts w:ascii="Calibri" w:eastAsia="Calibri" w:hAnsi="Calibri" w:cs="Calibri"/>
              </w:rPr>
              <w:t>.</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Efforts continue to increase male participation in Academic Success and Equity programs.  The equity index for ESL completion has slightly increased to 1.08 (up from 1.06), however, the percentage below average has slightly widened to 3.03 percent. The equity index for math remains the same at .93 and the percentage below average has widened to 2.84 percent.</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sidRPr="000B51A8">
              <w:rPr>
                <w:rFonts w:ascii="Calibri" w:eastAsia="Calibri" w:hAnsi="Calibri" w:cs="Calibri"/>
              </w:rPr>
              <w:t>Reduce the gap in basic skills English</w:t>
            </w:r>
            <w:r>
              <w:rPr>
                <w:rFonts w:ascii="Calibri" w:eastAsia="Calibri" w:hAnsi="Calibri" w:cs="Calibri"/>
              </w:rPr>
              <w:t xml:space="preserve"> and math</w:t>
            </w:r>
            <w:r w:rsidRPr="000B51A8">
              <w:rPr>
                <w:rFonts w:ascii="Calibri" w:eastAsia="Calibri" w:hAnsi="Calibri" w:cs="Calibri"/>
              </w:rPr>
              <w:t xml:space="preserve"> course completion for target male students </w:t>
            </w:r>
            <w:r>
              <w:rPr>
                <w:rFonts w:ascii="Calibri" w:eastAsia="Calibri" w:hAnsi="Calibri" w:cs="Calibri"/>
              </w:rPr>
              <w:t>to</w:t>
            </w:r>
            <w:r w:rsidRPr="000B51A8">
              <w:rPr>
                <w:rFonts w:ascii="Calibri" w:eastAsia="Calibri" w:hAnsi="Calibri" w:cs="Calibri"/>
              </w:rPr>
              <w:t xml:space="preserve"> 3.0</w:t>
            </w:r>
            <w:r>
              <w:rPr>
                <w:rFonts w:ascii="Calibri" w:eastAsia="Calibri" w:hAnsi="Calibri" w:cs="Calibri"/>
              </w:rPr>
              <w:t xml:space="preserve"> percent and 2 percent respectively</w:t>
            </w:r>
            <w:r w:rsidRPr="000B51A8">
              <w:rPr>
                <w:rFonts w:ascii="Calibri" w:eastAsia="Calibri" w:hAnsi="Calibri" w:cs="Calibri"/>
              </w:rPr>
              <w:t xml:space="preserve"> by 2018</w:t>
            </w:r>
            <w:r>
              <w:rPr>
                <w:rFonts w:ascii="Calibri" w:eastAsia="Calibri" w:hAnsi="Calibri" w:cs="Calibri"/>
              </w:rPr>
              <w:t>.</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Efforts continue to increase male participation in Academic Success and Equity programs.  The equity index for English completion has decreased to .94 (down from 1.02) and the percentage below average has widened to 2.76 percent. The equity index for math has dropped to .73 and the percentage below average has widened to 10.46 percent.</w:t>
            </w:r>
          </w:p>
        </w:tc>
      </w:tr>
      <w:tr w:rsidR="00CE39EC" w:rsidTr="00CE39EC">
        <w:tc>
          <w:tcPr>
            <w:tcW w:w="12893" w:type="dxa"/>
            <w:gridSpan w:val="2"/>
            <w:shd w:val="clear" w:color="auto" w:fill="8EAADB"/>
          </w:tcPr>
          <w:p w:rsidR="00CE39EC" w:rsidRDefault="00CE39EC" w:rsidP="00F24BD2">
            <w:pPr>
              <w:pStyle w:val="NoSpacing"/>
              <w:rPr>
                <w:rFonts w:ascii="Calibri" w:eastAsia="Calibri" w:hAnsi="Calibri" w:cs="Calibri"/>
              </w:rPr>
            </w:pPr>
            <w:r w:rsidRPr="000C36B6">
              <w:rPr>
                <w:rFonts w:ascii="Calibri" w:eastAsia="Calibri" w:hAnsi="Calibri" w:cs="Calibri"/>
                <w:b/>
                <w:sz w:val="24"/>
              </w:rPr>
              <w:t>Degree &amp; Certificate Completion</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sidRPr="000B51A8">
              <w:rPr>
                <w:rFonts w:ascii="Calibri" w:eastAsia="Calibri" w:hAnsi="Calibri" w:cs="Calibri"/>
              </w:rPr>
              <w:t>Eliminate the degree and certificate comple</w:t>
            </w:r>
            <w:r>
              <w:rPr>
                <w:rFonts w:ascii="Calibri" w:eastAsia="Calibri" w:hAnsi="Calibri" w:cs="Calibri"/>
              </w:rPr>
              <w:t>tion gap for all males by 2018.</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Marketing efforts were designed to highlight successful male students at the college accessing resources.  The equity index has slightly decreased to .84 (down from .87) and the percentage below average has widened to 3.86 percent.</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sidRPr="000B51A8">
              <w:rPr>
                <w:rFonts w:ascii="Calibri" w:eastAsia="Calibri" w:hAnsi="Calibri" w:cs="Calibri"/>
              </w:rPr>
              <w:t>Reduce the gap in degree and certificate completion for Alas</w:t>
            </w:r>
            <w:r>
              <w:rPr>
                <w:rFonts w:ascii="Calibri" w:eastAsia="Calibri" w:hAnsi="Calibri" w:cs="Calibri"/>
              </w:rPr>
              <w:t>ka Native/</w:t>
            </w:r>
            <w:r w:rsidRPr="000B51A8">
              <w:rPr>
                <w:rFonts w:ascii="Calibri" w:eastAsia="Calibri" w:hAnsi="Calibri" w:cs="Calibri"/>
              </w:rPr>
              <w:t>Native American students from 16.6</w:t>
            </w:r>
            <w:r>
              <w:rPr>
                <w:rFonts w:ascii="Calibri" w:eastAsia="Calibri" w:hAnsi="Calibri" w:cs="Calibri"/>
              </w:rPr>
              <w:t xml:space="preserve"> </w:t>
            </w:r>
            <w:r w:rsidRPr="000B51A8">
              <w:rPr>
                <w:rFonts w:ascii="Calibri" w:eastAsia="Calibri" w:hAnsi="Calibri" w:cs="Calibri"/>
              </w:rPr>
              <w:t>to 5.0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r w:rsidRPr="000B51A8">
              <w:rPr>
                <w:rFonts w:ascii="Calibri" w:eastAsia="Calibri" w:hAnsi="Calibri" w:cs="Calibri"/>
              </w:rPr>
              <w:t xml:space="preserve"> </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Increased efforts to connect students from this population to services continue including the start of a club on campus that will connect students to academic and support services. The number of students in this population is very small, leading to variability in data.  The equity index has slightly increased to .90 (up from .86) and the percentage below average has narrowed to 2.37 percent.</w:t>
            </w:r>
          </w:p>
        </w:tc>
      </w:tr>
      <w:tr w:rsidR="00CE39EC" w:rsidRPr="000C36B6" w:rsidTr="00CE39EC">
        <w:tc>
          <w:tcPr>
            <w:tcW w:w="12893" w:type="dxa"/>
            <w:gridSpan w:val="2"/>
            <w:shd w:val="clear" w:color="auto" w:fill="8EAADB"/>
          </w:tcPr>
          <w:p w:rsidR="00CE39EC" w:rsidRPr="000C36B6" w:rsidRDefault="00CE39EC" w:rsidP="00F24BD2">
            <w:pPr>
              <w:pStyle w:val="NoSpacing"/>
              <w:rPr>
                <w:rFonts w:ascii="Calibri" w:eastAsia="Calibri" w:hAnsi="Calibri" w:cs="Calibri"/>
                <w:b/>
              </w:rPr>
            </w:pPr>
            <w:r w:rsidRPr="000C36B6">
              <w:rPr>
                <w:rFonts w:ascii="Calibri" w:eastAsia="Calibri" w:hAnsi="Calibri" w:cs="Calibri"/>
                <w:b/>
                <w:sz w:val="24"/>
              </w:rPr>
              <w:t>Transfer</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sidRPr="000B51A8">
              <w:rPr>
                <w:rFonts w:ascii="Calibri" w:eastAsia="Calibri" w:hAnsi="Calibri" w:cs="Calibri"/>
              </w:rPr>
              <w:t>Reduce the</w:t>
            </w:r>
            <w:r>
              <w:rPr>
                <w:rFonts w:ascii="Calibri" w:eastAsia="Calibri" w:hAnsi="Calibri" w:cs="Calibri"/>
              </w:rPr>
              <w:t xml:space="preserve"> gap in transfer for Hispanic/</w:t>
            </w:r>
            <w:r w:rsidRPr="000B51A8">
              <w:rPr>
                <w:rFonts w:ascii="Calibri" w:eastAsia="Calibri" w:hAnsi="Calibri" w:cs="Calibri"/>
              </w:rPr>
              <w:t>Latino students from 7.5 to 3.0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 xml:space="preserve">The Puente program as well First Year Forward provide services to students and attempt to streamline student transition into </w:t>
            </w:r>
            <w:proofErr w:type="spellStart"/>
            <w:r>
              <w:rPr>
                <w:rFonts w:ascii="Calibri" w:eastAsia="Calibri" w:hAnsi="Calibri" w:cs="Calibri"/>
              </w:rPr>
              <w:t>MiraCosta</w:t>
            </w:r>
            <w:proofErr w:type="spellEnd"/>
            <w:r>
              <w:rPr>
                <w:rFonts w:ascii="Calibri" w:eastAsia="Calibri" w:hAnsi="Calibri" w:cs="Calibri"/>
              </w:rPr>
              <w:t xml:space="preserve"> and journey to graduation.  The Transfer Center has engaged in outreach to this population in marketing and services to increase student knowledge of transfer options and reduce transfer velocity.  The equity index has slightly decreased to .74 (down from .81) and the percentage below average has widened to 11.37 percent.</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Pr>
                <w:rFonts w:ascii="Calibri" w:eastAsia="Calibri" w:hAnsi="Calibri" w:cs="Calibri"/>
              </w:rPr>
              <w:t xml:space="preserve">Eliminate </w:t>
            </w:r>
            <w:r w:rsidRPr="000B51A8">
              <w:rPr>
                <w:rFonts w:ascii="Calibri" w:eastAsia="Calibri" w:hAnsi="Calibri" w:cs="Calibri"/>
              </w:rPr>
              <w:t>th</w:t>
            </w:r>
            <w:r>
              <w:rPr>
                <w:rFonts w:ascii="Calibri" w:eastAsia="Calibri" w:hAnsi="Calibri" w:cs="Calibri"/>
              </w:rPr>
              <w:t>e gap in transfer for Black/</w:t>
            </w:r>
            <w:r w:rsidRPr="000B51A8">
              <w:rPr>
                <w:rFonts w:ascii="Calibri" w:eastAsia="Calibri" w:hAnsi="Calibri" w:cs="Calibri"/>
              </w:rPr>
              <w:t>African-American students by 2018</w:t>
            </w:r>
            <w:r>
              <w:rPr>
                <w:rFonts w:ascii="Calibri" w:eastAsia="Calibri" w:hAnsi="Calibri" w:cs="Calibri"/>
              </w:rPr>
              <w:t>.</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The Umoja program as well as the Transfer Center has increased services to students in this population to increase knowledge of transfer options and reduce transfer velocity.  The equity index has remained the same at .98 and the percentage below average has narrowed to .90 percent.</w:t>
            </w:r>
          </w:p>
        </w:tc>
      </w:tr>
      <w:tr w:rsidR="00CE39EC" w:rsidRPr="000B51A8" w:rsidTr="00CE39EC">
        <w:tc>
          <w:tcPr>
            <w:tcW w:w="5220" w:type="dxa"/>
          </w:tcPr>
          <w:p w:rsidR="00CE39EC" w:rsidRPr="000B51A8" w:rsidRDefault="00CE39EC" w:rsidP="00F24BD2">
            <w:pPr>
              <w:widowControl w:val="0"/>
              <w:rPr>
                <w:rFonts w:ascii="Calibri" w:eastAsia="Calibri" w:hAnsi="Calibri" w:cs="Calibri"/>
              </w:rPr>
            </w:pPr>
            <w:r>
              <w:rPr>
                <w:rFonts w:ascii="Calibri" w:eastAsia="Calibri" w:hAnsi="Calibri" w:cs="Calibri"/>
              </w:rPr>
              <w:lastRenderedPageBreak/>
              <w:t xml:space="preserve">Reduce </w:t>
            </w:r>
            <w:r w:rsidRPr="000B51A8">
              <w:rPr>
                <w:rFonts w:ascii="Calibri" w:eastAsia="Calibri" w:hAnsi="Calibri" w:cs="Calibri"/>
              </w:rPr>
              <w:t xml:space="preserve">the gap in transfer for </w:t>
            </w:r>
            <w:r>
              <w:rPr>
                <w:rFonts w:ascii="Calibri" w:eastAsia="Calibri" w:hAnsi="Calibri" w:cs="Calibri"/>
              </w:rPr>
              <w:t>Native Hawaiian/</w:t>
            </w:r>
            <w:r w:rsidRPr="000B51A8">
              <w:rPr>
                <w:rFonts w:ascii="Calibri" w:eastAsia="Calibri" w:hAnsi="Calibri" w:cs="Calibri"/>
              </w:rPr>
              <w:t>Pacific Islander students from 15.6</w:t>
            </w:r>
            <w:r>
              <w:rPr>
                <w:rFonts w:ascii="Calibri" w:eastAsia="Calibri" w:hAnsi="Calibri" w:cs="Calibri"/>
              </w:rPr>
              <w:t xml:space="preserve"> </w:t>
            </w:r>
            <w:r w:rsidRPr="000B51A8">
              <w:rPr>
                <w:rFonts w:ascii="Calibri" w:eastAsia="Calibri" w:hAnsi="Calibri" w:cs="Calibri"/>
              </w:rPr>
              <w:t>to 5.0</w:t>
            </w:r>
            <w:r>
              <w:rPr>
                <w:rFonts w:ascii="Calibri" w:eastAsia="Calibri" w:hAnsi="Calibri" w:cs="Calibri"/>
              </w:rPr>
              <w:t xml:space="preserve"> percent</w:t>
            </w:r>
            <w:r w:rsidRPr="000B51A8">
              <w:rPr>
                <w:rFonts w:ascii="Calibri" w:eastAsia="Calibri" w:hAnsi="Calibri" w:cs="Calibri"/>
              </w:rPr>
              <w:t xml:space="preserve"> by 2018</w:t>
            </w:r>
            <w:r>
              <w:rPr>
                <w:rFonts w:ascii="Calibri" w:eastAsia="Calibri" w:hAnsi="Calibri" w:cs="Calibri"/>
              </w:rPr>
              <w:t>.</w:t>
            </w:r>
          </w:p>
        </w:tc>
        <w:tc>
          <w:tcPr>
            <w:tcW w:w="7673" w:type="dxa"/>
          </w:tcPr>
          <w:p w:rsidR="00CE39EC" w:rsidRPr="000B51A8" w:rsidRDefault="00CE39EC" w:rsidP="00F24BD2">
            <w:pPr>
              <w:widowControl w:val="0"/>
              <w:rPr>
                <w:rFonts w:ascii="Calibri" w:eastAsia="Calibri" w:hAnsi="Calibri" w:cs="Calibri"/>
              </w:rPr>
            </w:pPr>
            <w:r>
              <w:rPr>
                <w:rFonts w:ascii="Calibri" w:eastAsia="Calibri" w:hAnsi="Calibri" w:cs="Calibri"/>
              </w:rPr>
              <w:t>The newly begun Mana program is geared towards exposing students to transfer options and assist students with educational planning.  The equity index has increased to 1.54 (up from 1.02) and the percentage below average has narrowed to 23.26 percent.</w:t>
            </w:r>
          </w:p>
        </w:tc>
      </w:tr>
    </w:tbl>
    <w:p w:rsidR="00477BC8" w:rsidRDefault="00477BC8" w:rsidP="00C34B50">
      <w:pPr>
        <w:pStyle w:val="NoSpacing"/>
        <w:rPr>
          <w:b/>
          <w:sz w:val="24"/>
          <w:szCs w:val="24"/>
        </w:rPr>
      </w:pPr>
    </w:p>
    <w:p w:rsidR="00477BC8" w:rsidRDefault="00477BC8" w:rsidP="00477BC8">
      <w:pPr>
        <w:pStyle w:val="NoSpacing"/>
        <w:rPr>
          <w:b/>
          <w:sz w:val="32"/>
          <w:szCs w:val="32"/>
        </w:rPr>
      </w:pPr>
      <w:r>
        <w:rPr>
          <w:b/>
          <w:sz w:val="32"/>
          <w:szCs w:val="32"/>
        </w:rPr>
        <w:t>College Contact</w:t>
      </w:r>
    </w:p>
    <w:p w:rsidR="00477BC8" w:rsidRPr="00477BC8" w:rsidRDefault="00477BC8" w:rsidP="00477BC8">
      <w:pPr>
        <w:pStyle w:val="NoSpacing"/>
        <w:rPr>
          <w:b/>
          <w:sz w:val="20"/>
          <w:szCs w:val="20"/>
        </w:rPr>
      </w:pPr>
      <w:r>
        <w:rPr>
          <w:b/>
          <w:sz w:val="32"/>
          <w:szCs w:val="32"/>
        </w:rPr>
        <w:tab/>
      </w:r>
    </w:p>
    <w:p w:rsidR="00477BC8" w:rsidRPr="00477BC8" w:rsidRDefault="00477BC8" w:rsidP="00477BC8">
      <w:pPr>
        <w:pStyle w:val="NoSpacing"/>
        <w:ind w:left="630"/>
        <w:rPr>
          <w:sz w:val="24"/>
          <w:szCs w:val="24"/>
        </w:rPr>
      </w:pPr>
      <w:r w:rsidRPr="00477BC8">
        <w:rPr>
          <w:sz w:val="24"/>
          <w:szCs w:val="24"/>
        </w:rPr>
        <w:t>Wendy Stewart</w:t>
      </w:r>
    </w:p>
    <w:p w:rsidR="00477BC8" w:rsidRPr="00477BC8" w:rsidRDefault="00477BC8" w:rsidP="00477BC8">
      <w:pPr>
        <w:pStyle w:val="NoSpacing"/>
        <w:ind w:left="630"/>
        <w:rPr>
          <w:sz w:val="24"/>
          <w:szCs w:val="24"/>
        </w:rPr>
      </w:pPr>
      <w:r w:rsidRPr="00477BC8">
        <w:rPr>
          <w:sz w:val="24"/>
          <w:szCs w:val="24"/>
        </w:rPr>
        <w:t>Dean of Counseling &amp; Student Development</w:t>
      </w:r>
    </w:p>
    <w:p w:rsidR="00477BC8" w:rsidRPr="00477BC8" w:rsidRDefault="00477BC8" w:rsidP="00477BC8">
      <w:pPr>
        <w:pStyle w:val="NoSpacing"/>
        <w:ind w:left="630"/>
        <w:rPr>
          <w:sz w:val="24"/>
          <w:szCs w:val="24"/>
        </w:rPr>
      </w:pPr>
      <w:r w:rsidRPr="00477BC8">
        <w:rPr>
          <w:sz w:val="24"/>
          <w:szCs w:val="24"/>
        </w:rPr>
        <w:t>(760) 795-6892</w:t>
      </w:r>
    </w:p>
    <w:p w:rsidR="00477BC8" w:rsidRPr="00477BC8" w:rsidRDefault="00477BC8" w:rsidP="00477BC8">
      <w:pPr>
        <w:pStyle w:val="NoSpacing"/>
        <w:ind w:left="630"/>
        <w:rPr>
          <w:sz w:val="24"/>
          <w:szCs w:val="24"/>
        </w:rPr>
      </w:pPr>
      <w:r w:rsidRPr="00477BC8">
        <w:rPr>
          <w:sz w:val="24"/>
          <w:szCs w:val="24"/>
        </w:rPr>
        <w:t>wstewart@miracosta.edu</w:t>
      </w:r>
    </w:p>
    <w:sectPr w:rsidR="00477BC8" w:rsidRPr="00477BC8" w:rsidSect="00C34B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01E87"/>
    <w:multiLevelType w:val="hybridMultilevel"/>
    <w:tmpl w:val="C41E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D62B6"/>
    <w:multiLevelType w:val="hybridMultilevel"/>
    <w:tmpl w:val="5338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78758A"/>
    <w:multiLevelType w:val="hybridMultilevel"/>
    <w:tmpl w:val="12F0F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0"/>
    <w:rsid w:val="00035D30"/>
    <w:rsid w:val="00045560"/>
    <w:rsid w:val="00053DF2"/>
    <w:rsid w:val="000C30DC"/>
    <w:rsid w:val="000C36B6"/>
    <w:rsid w:val="000C42B4"/>
    <w:rsid w:val="00127109"/>
    <w:rsid w:val="00143EFD"/>
    <w:rsid w:val="0015674A"/>
    <w:rsid w:val="00161491"/>
    <w:rsid w:val="00161C08"/>
    <w:rsid w:val="001C4D21"/>
    <w:rsid w:val="001E2874"/>
    <w:rsid w:val="00214325"/>
    <w:rsid w:val="00253925"/>
    <w:rsid w:val="002C0E76"/>
    <w:rsid w:val="0032539E"/>
    <w:rsid w:val="003341AB"/>
    <w:rsid w:val="00410AA3"/>
    <w:rsid w:val="00477BC8"/>
    <w:rsid w:val="005400BF"/>
    <w:rsid w:val="005749BD"/>
    <w:rsid w:val="00582758"/>
    <w:rsid w:val="00585AE9"/>
    <w:rsid w:val="005E66A2"/>
    <w:rsid w:val="006A74C0"/>
    <w:rsid w:val="007033EE"/>
    <w:rsid w:val="00762868"/>
    <w:rsid w:val="00797177"/>
    <w:rsid w:val="007B1CEC"/>
    <w:rsid w:val="007E4203"/>
    <w:rsid w:val="0085754C"/>
    <w:rsid w:val="008858C0"/>
    <w:rsid w:val="00885A75"/>
    <w:rsid w:val="008D11FB"/>
    <w:rsid w:val="008E0FBE"/>
    <w:rsid w:val="008F3225"/>
    <w:rsid w:val="00924136"/>
    <w:rsid w:val="00992986"/>
    <w:rsid w:val="009B1461"/>
    <w:rsid w:val="009C63D3"/>
    <w:rsid w:val="00A73626"/>
    <w:rsid w:val="00A93FFF"/>
    <w:rsid w:val="00AF5822"/>
    <w:rsid w:val="00B049FE"/>
    <w:rsid w:val="00B11351"/>
    <w:rsid w:val="00B158FF"/>
    <w:rsid w:val="00C268E4"/>
    <w:rsid w:val="00C34B50"/>
    <w:rsid w:val="00C74332"/>
    <w:rsid w:val="00C832E5"/>
    <w:rsid w:val="00C9660F"/>
    <w:rsid w:val="00CB417F"/>
    <w:rsid w:val="00CE39EC"/>
    <w:rsid w:val="00D4359C"/>
    <w:rsid w:val="00D71A02"/>
    <w:rsid w:val="00D81439"/>
    <w:rsid w:val="00DA19CC"/>
    <w:rsid w:val="00E00CDF"/>
    <w:rsid w:val="00F62559"/>
    <w:rsid w:val="00F7702B"/>
    <w:rsid w:val="00F81811"/>
    <w:rsid w:val="00F92738"/>
    <w:rsid w:val="00FC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8371F"/>
  <w15:docId w15:val="{D89BA8A9-FBFF-4989-A6B7-48E38B1A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B50"/>
    <w:pPr>
      <w:spacing w:after="0" w:line="240" w:lineRule="auto"/>
    </w:pPr>
  </w:style>
  <w:style w:type="paragraph" w:styleId="NormalWeb">
    <w:name w:val="Normal (Web)"/>
    <w:basedOn w:val="Normal"/>
    <w:uiPriority w:val="99"/>
    <w:semiHidden/>
    <w:unhideWhenUsed/>
    <w:rsid w:val="00C34B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3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364006">
      <w:bodyDiv w:val="1"/>
      <w:marLeft w:val="0"/>
      <w:marRight w:val="0"/>
      <w:marTop w:val="0"/>
      <w:marBottom w:val="0"/>
      <w:divBdr>
        <w:top w:val="none" w:sz="0" w:space="0" w:color="auto"/>
        <w:left w:val="none" w:sz="0" w:space="0" w:color="auto"/>
        <w:bottom w:val="none" w:sz="0" w:space="0" w:color="auto"/>
        <w:right w:val="none" w:sz="0" w:space="0" w:color="auto"/>
      </w:divBdr>
    </w:div>
    <w:div w:id="19643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877F-A142-4B56-AC5A-12F53466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JP</dc:creator>
  <cp:keywords/>
  <dc:description/>
  <cp:lastModifiedBy>Chavira, Chelsea</cp:lastModifiedBy>
  <cp:revision>2</cp:revision>
  <dcterms:created xsi:type="dcterms:W3CDTF">2018-07-09T20:41:00Z</dcterms:created>
  <dcterms:modified xsi:type="dcterms:W3CDTF">2018-07-09T20:41:00Z</dcterms:modified>
</cp:coreProperties>
</file>